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F6C7" w14:textId="10B0944A" w:rsidR="00A16D21" w:rsidRDefault="003805DC" w:rsidP="008E76C5">
      <w:pPr>
        <w:jc w:val="center"/>
        <w:rPr>
          <w:rFonts w:ascii="Times New Roman" w:hAnsi="Times New Roman" w:cs="Times New Roman"/>
          <w:b/>
          <w:bCs/>
          <w:sz w:val="32"/>
          <w:szCs w:val="32"/>
        </w:rPr>
      </w:pPr>
      <w:r>
        <w:rPr>
          <w:rFonts w:ascii="Times New Roman" w:hAnsi="Times New Roman" w:cs="Times New Roman"/>
          <w:b/>
          <w:bCs/>
          <w:sz w:val="32"/>
          <w:szCs w:val="32"/>
        </w:rPr>
        <w:t>Appendix of</w:t>
      </w:r>
    </w:p>
    <w:p w14:paraId="3D0A095A" w14:textId="77777777" w:rsidR="00762923" w:rsidRPr="00762923" w:rsidRDefault="00762923" w:rsidP="008E76C5">
      <w:pPr>
        <w:jc w:val="center"/>
        <w:rPr>
          <w:rFonts w:ascii="Times New Roman" w:hAnsi="Times New Roman" w:cs="Times New Roman"/>
          <w:b/>
          <w:bCs/>
          <w:sz w:val="32"/>
          <w:szCs w:val="32"/>
        </w:rPr>
      </w:pPr>
    </w:p>
    <w:p w14:paraId="700FAD79" w14:textId="77777777" w:rsidR="0064094D" w:rsidRPr="0064094D" w:rsidRDefault="0064094D" w:rsidP="0064094D">
      <w:pPr>
        <w:spacing w:after="0" w:line="480" w:lineRule="auto"/>
        <w:rPr>
          <w:rFonts w:ascii="Times New Roman" w:eastAsia="宋体" w:hAnsi="Times New Roman" w:cs="Times New Roman"/>
          <w:sz w:val="36"/>
          <w:szCs w:val="36"/>
          <w:lang w:eastAsia="en-US"/>
        </w:rPr>
      </w:pPr>
      <w:r w:rsidRPr="0064094D">
        <w:rPr>
          <w:rFonts w:ascii="Times New Roman" w:eastAsia="宋体" w:hAnsi="Times New Roman" w:cs="Times New Roman"/>
          <w:sz w:val="36"/>
          <w:szCs w:val="36"/>
          <w:lang w:eastAsia="en-US"/>
        </w:rPr>
        <w:t>The evolution of intra- and inter-molecular isotope equilibria in natural gases with thermal maturation</w:t>
      </w:r>
    </w:p>
    <w:p w14:paraId="247EE3C9" w14:textId="77777777" w:rsidR="0064094D" w:rsidRPr="0064094D" w:rsidRDefault="0064094D" w:rsidP="0064094D">
      <w:pPr>
        <w:spacing w:after="0" w:line="480" w:lineRule="auto"/>
        <w:rPr>
          <w:rFonts w:ascii="Times New Roman" w:eastAsia="宋体" w:hAnsi="Times New Roman" w:cs="Times New Roman"/>
          <w:b/>
          <w:sz w:val="24"/>
          <w:lang w:eastAsia="en-US"/>
        </w:rPr>
      </w:pPr>
      <w:r w:rsidRPr="0064094D">
        <w:rPr>
          <w:rFonts w:ascii="Times New Roman" w:eastAsia="宋体" w:hAnsi="Times New Roman" w:cs="Times New Roman"/>
          <w:b/>
          <w:sz w:val="24"/>
          <w:lang w:eastAsia="en-US"/>
        </w:rPr>
        <w:t>Hao Xie</w:t>
      </w:r>
      <w:r w:rsidRPr="0064094D">
        <w:rPr>
          <w:rFonts w:ascii="Times New Roman" w:eastAsia="宋体" w:hAnsi="Times New Roman" w:cs="Times New Roman"/>
          <w:b/>
          <w:sz w:val="24"/>
          <w:vertAlign w:val="superscript"/>
          <w:lang w:eastAsia="en-US"/>
        </w:rPr>
        <w:t>1</w:t>
      </w:r>
      <w:r w:rsidRPr="0064094D">
        <w:rPr>
          <w:rFonts w:ascii="Times New Roman" w:eastAsia="宋体" w:hAnsi="Times New Roman" w:cs="Times New Roman"/>
          <w:b/>
          <w:sz w:val="24"/>
          <w:lang w:eastAsia="en-US"/>
        </w:rPr>
        <w:t>, Guannan Dong</w:t>
      </w:r>
      <w:r w:rsidRPr="0064094D">
        <w:rPr>
          <w:rFonts w:ascii="Times New Roman" w:eastAsia="宋体" w:hAnsi="Times New Roman" w:cs="Times New Roman"/>
          <w:b/>
          <w:sz w:val="24"/>
          <w:vertAlign w:val="superscript"/>
          <w:lang w:eastAsia="en-US"/>
        </w:rPr>
        <w:t>1</w:t>
      </w:r>
      <w:r w:rsidRPr="0064094D">
        <w:rPr>
          <w:rFonts w:ascii="Times New Roman" w:eastAsia="宋体" w:hAnsi="Times New Roman" w:cs="Times New Roman"/>
          <w:b/>
          <w:sz w:val="24"/>
          <w:lang w:eastAsia="en-US"/>
        </w:rPr>
        <w:t>, Michael Formolo</w:t>
      </w:r>
      <w:r w:rsidRPr="0064094D">
        <w:rPr>
          <w:rFonts w:ascii="Times New Roman" w:eastAsia="宋体" w:hAnsi="Times New Roman" w:cs="Times New Roman"/>
          <w:b/>
          <w:sz w:val="24"/>
          <w:vertAlign w:val="superscript"/>
          <w:lang w:eastAsia="en-US"/>
        </w:rPr>
        <w:t>2</w:t>
      </w:r>
      <w:r w:rsidRPr="0064094D">
        <w:rPr>
          <w:rFonts w:ascii="Times New Roman" w:eastAsia="宋体" w:hAnsi="Times New Roman" w:cs="Times New Roman"/>
          <w:b/>
          <w:sz w:val="24"/>
          <w:lang w:eastAsia="en-US"/>
        </w:rPr>
        <w:t>, Michael Lawson</w:t>
      </w:r>
      <w:r w:rsidRPr="0064094D">
        <w:rPr>
          <w:rFonts w:ascii="Times New Roman" w:eastAsia="宋体" w:hAnsi="Times New Roman" w:cs="Times New Roman"/>
          <w:b/>
          <w:sz w:val="24"/>
          <w:vertAlign w:val="superscript"/>
          <w:lang w:eastAsia="en-US"/>
        </w:rPr>
        <w:t>3</w:t>
      </w:r>
      <w:r w:rsidRPr="0064094D">
        <w:rPr>
          <w:rFonts w:ascii="Times New Roman" w:eastAsia="宋体" w:hAnsi="Times New Roman" w:cs="Times New Roman"/>
          <w:b/>
          <w:sz w:val="24"/>
          <w:lang w:eastAsia="en-US"/>
        </w:rPr>
        <w:t>, Jianzhang Liu</w:t>
      </w:r>
      <w:r w:rsidRPr="0064094D">
        <w:rPr>
          <w:rFonts w:ascii="Times New Roman" w:eastAsia="宋体" w:hAnsi="Times New Roman" w:cs="Times New Roman"/>
          <w:b/>
          <w:sz w:val="24"/>
          <w:vertAlign w:val="superscript"/>
          <w:lang w:eastAsia="en-US"/>
        </w:rPr>
        <w:t>4</w:t>
      </w:r>
      <w:r w:rsidRPr="0064094D">
        <w:rPr>
          <w:rFonts w:ascii="Times New Roman" w:eastAsia="宋体" w:hAnsi="Times New Roman" w:cs="Times New Roman"/>
          <w:b/>
          <w:sz w:val="24"/>
          <w:lang w:eastAsia="en-US"/>
        </w:rPr>
        <w:t xml:space="preserve">, </w:t>
      </w:r>
      <w:proofErr w:type="spellStart"/>
      <w:r w:rsidRPr="0064094D">
        <w:rPr>
          <w:rFonts w:ascii="Times New Roman" w:eastAsia="宋体" w:hAnsi="Times New Roman" w:cs="Times New Roman"/>
          <w:b/>
          <w:sz w:val="24"/>
          <w:lang w:eastAsia="en-US"/>
        </w:rPr>
        <w:t>Fuyun</w:t>
      </w:r>
      <w:proofErr w:type="spellEnd"/>
      <w:r w:rsidRPr="0064094D">
        <w:rPr>
          <w:rFonts w:ascii="Times New Roman" w:eastAsia="宋体" w:hAnsi="Times New Roman" w:cs="Times New Roman"/>
          <w:b/>
          <w:sz w:val="24"/>
          <w:lang w:eastAsia="en-US"/>
        </w:rPr>
        <w:t xml:space="preserve"> Cong</w:t>
      </w:r>
      <w:r w:rsidRPr="0064094D">
        <w:rPr>
          <w:rFonts w:ascii="Times New Roman" w:eastAsia="宋体" w:hAnsi="Times New Roman" w:cs="Times New Roman"/>
          <w:b/>
          <w:sz w:val="24"/>
          <w:vertAlign w:val="superscript"/>
          <w:lang w:eastAsia="en-US"/>
        </w:rPr>
        <w:t>4</w:t>
      </w:r>
      <w:r w:rsidRPr="0064094D">
        <w:rPr>
          <w:rFonts w:ascii="Times New Roman" w:eastAsia="宋体" w:hAnsi="Times New Roman" w:cs="Times New Roman"/>
          <w:b/>
          <w:sz w:val="24"/>
          <w:lang w:eastAsia="en-US"/>
        </w:rPr>
        <w:t>, X</w:t>
      </w:r>
      <w:r w:rsidRPr="0064094D">
        <w:rPr>
          <w:rFonts w:ascii="Times New Roman" w:eastAsia="宋体" w:hAnsi="Times New Roman" w:cs="Times New Roman" w:hint="eastAsia"/>
          <w:b/>
          <w:sz w:val="24"/>
        </w:rPr>
        <w:t>avier</w:t>
      </w:r>
      <w:r w:rsidRPr="0064094D">
        <w:rPr>
          <w:rFonts w:ascii="Times New Roman" w:eastAsia="宋体" w:hAnsi="Times New Roman" w:cs="Times New Roman"/>
          <w:b/>
          <w:sz w:val="24"/>
          <w:lang w:eastAsia="en-US"/>
        </w:rPr>
        <w:t xml:space="preserve"> Mangenot</w:t>
      </w:r>
      <w:r w:rsidRPr="0064094D">
        <w:rPr>
          <w:rFonts w:ascii="Times New Roman" w:eastAsia="宋体" w:hAnsi="Times New Roman" w:cs="Times New Roman"/>
          <w:b/>
          <w:sz w:val="24"/>
          <w:vertAlign w:val="superscript"/>
          <w:lang w:eastAsia="en-US"/>
        </w:rPr>
        <w:t>1</w:t>
      </w:r>
      <w:r w:rsidRPr="0064094D">
        <w:rPr>
          <w:rFonts w:ascii="Times New Roman" w:eastAsia="宋体" w:hAnsi="Times New Roman" w:cs="Times New Roman"/>
          <w:b/>
          <w:sz w:val="24"/>
          <w:lang w:eastAsia="en-US"/>
        </w:rPr>
        <w:t xml:space="preserve">, </w:t>
      </w:r>
      <w:proofErr w:type="spellStart"/>
      <w:r w:rsidRPr="0064094D">
        <w:rPr>
          <w:rFonts w:ascii="Times New Roman" w:eastAsia="宋体" w:hAnsi="Times New Roman" w:cs="Times New Roman"/>
          <w:b/>
          <w:sz w:val="24"/>
          <w:lang w:eastAsia="en-US"/>
        </w:rPr>
        <w:t>Y</w:t>
      </w:r>
      <w:r w:rsidRPr="0064094D">
        <w:rPr>
          <w:rFonts w:ascii="Times New Roman" w:eastAsia="宋体" w:hAnsi="Times New Roman" w:cs="Times New Roman" w:hint="eastAsia"/>
          <w:b/>
          <w:sz w:val="24"/>
        </w:rPr>
        <w:t>anhu</w:t>
      </w:r>
      <w:r w:rsidRPr="0064094D">
        <w:rPr>
          <w:rFonts w:ascii="Times New Roman" w:eastAsia="宋体" w:hAnsi="Times New Roman" w:cs="Times New Roman"/>
          <w:b/>
          <w:sz w:val="24"/>
          <w:lang w:eastAsia="en-US"/>
        </w:rPr>
        <w:t>a</w:t>
      </w:r>
      <w:proofErr w:type="spellEnd"/>
      <w:r w:rsidRPr="0064094D">
        <w:rPr>
          <w:rFonts w:ascii="Times New Roman" w:eastAsia="宋体" w:hAnsi="Times New Roman" w:cs="Times New Roman"/>
          <w:b/>
          <w:sz w:val="24"/>
          <w:lang w:eastAsia="en-US"/>
        </w:rPr>
        <w:t xml:space="preserve"> Shuai</w:t>
      </w:r>
      <w:r w:rsidRPr="0064094D">
        <w:rPr>
          <w:rFonts w:ascii="Times New Roman" w:eastAsia="宋体" w:hAnsi="Times New Roman" w:cs="Times New Roman"/>
          <w:b/>
          <w:sz w:val="24"/>
          <w:vertAlign w:val="superscript"/>
          <w:lang w:eastAsia="en-US"/>
        </w:rPr>
        <w:t>5</w:t>
      </w:r>
      <w:r w:rsidRPr="0064094D">
        <w:rPr>
          <w:rFonts w:ascii="Times New Roman" w:eastAsia="宋体" w:hAnsi="Times New Roman" w:cs="Times New Roman"/>
          <w:b/>
          <w:sz w:val="24"/>
          <w:lang w:eastAsia="en-US"/>
        </w:rPr>
        <w:t>, C</w:t>
      </w:r>
      <w:r w:rsidRPr="0064094D">
        <w:rPr>
          <w:rFonts w:ascii="Times New Roman" w:eastAsia="宋体" w:hAnsi="Times New Roman" w:cs="Times New Roman" w:hint="eastAsia"/>
          <w:b/>
          <w:sz w:val="24"/>
        </w:rPr>
        <w:t>ami</w:t>
      </w:r>
      <w:r w:rsidRPr="0064094D">
        <w:rPr>
          <w:rFonts w:ascii="Times New Roman" w:eastAsia="宋体" w:hAnsi="Times New Roman" w:cs="Times New Roman"/>
          <w:b/>
          <w:sz w:val="24"/>
          <w:lang w:eastAsia="en-US"/>
        </w:rPr>
        <w:t>lo Ponton</w:t>
      </w:r>
      <w:r w:rsidRPr="0064094D">
        <w:rPr>
          <w:rFonts w:ascii="Times New Roman" w:eastAsia="宋体" w:hAnsi="Times New Roman" w:cs="Times New Roman"/>
          <w:b/>
          <w:sz w:val="24"/>
          <w:vertAlign w:val="superscript"/>
          <w:lang w:eastAsia="en-US"/>
        </w:rPr>
        <w:t>6</w:t>
      </w:r>
      <w:r w:rsidRPr="0064094D">
        <w:rPr>
          <w:rFonts w:ascii="Times New Roman" w:eastAsia="宋体" w:hAnsi="Times New Roman" w:cs="Times New Roman"/>
          <w:b/>
          <w:sz w:val="24"/>
          <w:lang w:eastAsia="en-US"/>
        </w:rPr>
        <w:t>, John Eiler</w:t>
      </w:r>
      <w:r w:rsidRPr="0064094D">
        <w:rPr>
          <w:rFonts w:ascii="Times New Roman" w:eastAsia="宋体" w:hAnsi="Times New Roman" w:cs="Times New Roman"/>
          <w:b/>
          <w:sz w:val="24"/>
          <w:vertAlign w:val="superscript"/>
          <w:lang w:eastAsia="en-US"/>
        </w:rPr>
        <w:t>1</w:t>
      </w:r>
    </w:p>
    <w:p w14:paraId="32F54DFE" w14:textId="77777777" w:rsidR="0064094D" w:rsidRPr="0064094D" w:rsidRDefault="0064094D" w:rsidP="0064094D">
      <w:pPr>
        <w:spacing w:after="0" w:line="480" w:lineRule="auto"/>
        <w:rPr>
          <w:rFonts w:ascii="Times New Roman" w:eastAsia="宋体" w:hAnsi="Times New Roman" w:cs="Times New Roman"/>
          <w:i/>
          <w:sz w:val="24"/>
          <w:lang w:eastAsia="en-US"/>
        </w:rPr>
      </w:pPr>
      <w:r w:rsidRPr="0064094D">
        <w:rPr>
          <w:rFonts w:ascii="Times New Roman" w:eastAsia="宋体" w:hAnsi="Times New Roman" w:cs="Times New Roman"/>
          <w:i/>
          <w:sz w:val="24"/>
          <w:vertAlign w:val="superscript"/>
          <w:lang w:eastAsia="en-US"/>
        </w:rPr>
        <w:t>1</w:t>
      </w:r>
      <w:r w:rsidRPr="0064094D">
        <w:rPr>
          <w:rFonts w:ascii="Times New Roman" w:eastAsia="宋体" w:hAnsi="Times New Roman" w:cs="Times New Roman"/>
          <w:i/>
          <w:sz w:val="24"/>
          <w:lang w:eastAsia="en-US"/>
        </w:rPr>
        <w:t>Division of Geological and Planetary Sciences, California Institute of Technology, Pasadena, CA, USA</w:t>
      </w:r>
    </w:p>
    <w:p w14:paraId="07BDD70E" w14:textId="77777777" w:rsidR="0064094D" w:rsidRPr="0064094D" w:rsidRDefault="0064094D" w:rsidP="0064094D">
      <w:pPr>
        <w:spacing w:after="0" w:line="480" w:lineRule="auto"/>
        <w:rPr>
          <w:rFonts w:ascii="Times New Roman" w:eastAsia="宋体" w:hAnsi="Times New Roman" w:cs="Times New Roman"/>
          <w:i/>
          <w:sz w:val="24"/>
          <w:lang w:eastAsia="en-US"/>
        </w:rPr>
      </w:pPr>
      <w:r w:rsidRPr="0064094D">
        <w:rPr>
          <w:rFonts w:ascii="Times New Roman" w:eastAsia="宋体" w:hAnsi="Times New Roman" w:cs="Times New Roman"/>
          <w:i/>
          <w:sz w:val="24"/>
          <w:vertAlign w:val="superscript"/>
          <w:lang w:eastAsia="en-US"/>
        </w:rPr>
        <w:t>2</w:t>
      </w:r>
      <w:r w:rsidRPr="0064094D">
        <w:rPr>
          <w:rFonts w:ascii="Times New Roman" w:eastAsia="宋体" w:hAnsi="Times New Roman" w:cs="Times New Roman"/>
          <w:i/>
          <w:sz w:val="24"/>
          <w:lang w:eastAsia="en-US"/>
        </w:rPr>
        <w:t>ExxonMobil Upstream Integrated Solutions Company, Spring, TX, USA</w:t>
      </w:r>
    </w:p>
    <w:p w14:paraId="18EFD608" w14:textId="77777777" w:rsidR="0064094D" w:rsidRPr="0064094D" w:rsidRDefault="0064094D" w:rsidP="0064094D">
      <w:pPr>
        <w:spacing w:after="0" w:line="480" w:lineRule="auto"/>
        <w:rPr>
          <w:rFonts w:ascii="Times New Roman" w:eastAsia="宋体" w:hAnsi="Times New Roman" w:cs="Times New Roman"/>
          <w:b/>
          <w:sz w:val="24"/>
          <w:lang w:eastAsia="en-US"/>
        </w:rPr>
      </w:pPr>
      <w:r w:rsidRPr="0064094D">
        <w:rPr>
          <w:rFonts w:ascii="Times New Roman" w:eastAsia="宋体" w:hAnsi="Times New Roman" w:cs="Times New Roman"/>
          <w:i/>
          <w:sz w:val="24"/>
          <w:vertAlign w:val="superscript"/>
          <w:lang w:eastAsia="en-US"/>
        </w:rPr>
        <w:t>3</w:t>
      </w:r>
      <w:r w:rsidRPr="0064094D">
        <w:rPr>
          <w:rFonts w:ascii="Times New Roman" w:eastAsia="宋体" w:hAnsi="Times New Roman" w:cs="Times New Roman"/>
          <w:i/>
          <w:sz w:val="24"/>
          <w:lang w:eastAsia="en-US"/>
        </w:rPr>
        <w:t>ExxonMobil Upstream Business Development Company, Spring, TX, USA</w:t>
      </w:r>
    </w:p>
    <w:p w14:paraId="43F2AF3F" w14:textId="77777777" w:rsidR="0064094D" w:rsidRPr="0064094D" w:rsidRDefault="0064094D" w:rsidP="0064094D">
      <w:pPr>
        <w:spacing w:after="0" w:line="480" w:lineRule="auto"/>
        <w:rPr>
          <w:rFonts w:ascii="Times New Roman" w:eastAsia="宋体" w:hAnsi="Times New Roman" w:cs="Times New Roman"/>
          <w:b/>
          <w:sz w:val="24"/>
          <w:lang w:eastAsia="en-US"/>
        </w:rPr>
      </w:pPr>
      <w:r w:rsidRPr="0064094D">
        <w:rPr>
          <w:rFonts w:ascii="Times New Roman" w:eastAsia="宋体" w:hAnsi="Times New Roman" w:cs="Times New Roman"/>
          <w:i/>
          <w:sz w:val="24"/>
          <w:vertAlign w:val="superscript"/>
          <w:lang w:eastAsia="en-US"/>
        </w:rPr>
        <w:t>4</w:t>
      </w:r>
      <w:r w:rsidRPr="0064094D">
        <w:rPr>
          <w:rFonts w:ascii="Times New Roman" w:eastAsia="宋体" w:hAnsi="Times New Roman" w:cs="Times New Roman"/>
          <w:i/>
          <w:sz w:val="24"/>
          <w:lang w:eastAsia="en-US"/>
        </w:rPr>
        <w:t>China University of Geosciences, Wuhan, Hubei, China</w:t>
      </w:r>
    </w:p>
    <w:p w14:paraId="5039E285" w14:textId="77777777" w:rsidR="0064094D" w:rsidRPr="0064094D" w:rsidRDefault="0064094D" w:rsidP="0064094D">
      <w:pPr>
        <w:spacing w:after="0" w:line="480" w:lineRule="auto"/>
        <w:rPr>
          <w:rFonts w:ascii="Times New Roman" w:eastAsia="宋体" w:hAnsi="Times New Roman" w:cs="Times New Roman"/>
          <w:i/>
          <w:sz w:val="24"/>
          <w:lang w:eastAsia="en-US"/>
        </w:rPr>
      </w:pPr>
      <w:r w:rsidRPr="0064094D">
        <w:rPr>
          <w:rFonts w:ascii="Times New Roman" w:eastAsia="宋体" w:hAnsi="Times New Roman" w:cs="Times New Roman"/>
          <w:i/>
          <w:sz w:val="24"/>
          <w:vertAlign w:val="superscript"/>
          <w:lang w:eastAsia="en-US"/>
        </w:rPr>
        <w:t>5</w:t>
      </w:r>
      <w:r w:rsidRPr="0064094D">
        <w:rPr>
          <w:rFonts w:ascii="Times New Roman" w:eastAsia="宋体" w:hAnsi="Times New Roman" w:cs="Times New Roman"/>
          <w:i/>
          <w:sz w:val="24"/>
          <w:lang w:eastAsia="en-US"/>
        </w:rPr>
        <w:t>Research Institute of Petroleum Exploration and Development (PetroChina), Beijing, China</w:t>
      </w:r>
    </w:p>
    <w:p w14:paraId="1B354626" w14:textId="143E012B" w:rsidR="008E76C5" w:rsidRPr="0064094D" w:rsidRDefault="0064094D" w:rsidP="0064094D">
      <w:pPr>
        <w:spacing w:after="0" w:line="480" w:lineRule="auto"/>
        <w:rPr>
          <w:rFonts w:ascii="Times New Roman" w:eastAsia="宋体" w:hAnsi="Times New Roman" w:cs="Times New Roman"/>
          <w:b/>
          <w:sz w:val="24"/>
          <w:lang w:eastAsia="en-US"/>
        </w:rPr>
      </w:pPr>
      <w:r w:rsidRPr="0064094D">
        <w:rPr>
          <w:rFonts w:ascii="Times New Roman" w:eastAsia="宋体" w:hAnsi="Times New Roman" w:cs="Times New Roman"/>
          <w:i/>
          <w:sz w:val="24"/>
          <w:vertAlign w:val="superscript"/>
          <w:lang w:eastAsia="en-US"/>
        </w:rPr>
        <w:t>6</w:t>
      </w:r>
      <w:r w:rsidRPr="0064094D">
        <w:rPr>
          <w:rFonts w:ascii="Times New Roman" w:eastAsia="宋体" w:hAnsi="Times New Roman" w:cs="Times New Roman"/>
          <w:i/>
          <w:sz w:val="24"/>
          <w:lang w:eastAsia="en-US"/>
        </w:rPr>
        <w:t>Western Washington University, Bellingham, WA, USA</w:t>
      </w:r>
    </w:p>
    <w:p w14:paraId="2DAA671A" w14:textId="7D422004" w:rsidR="000E2885" w:rsidRDefault="000E2885" w:rsidP="008E76C5">
      <w:pPr>
        <w:jc w:val="center"/>
        <w:rPr>
          <w:rFonts w:ascii="Times New Roman" w:hAnsi="Times New Roman" w:cs="Times New Roman"/>
        </w:rPr>
      </w:pPr>
    </w:p>
    <w:p w14:paraId="6CD335E8" w14:textId="7DC7FA3E" w:rsidR="000E2885" w:rsidRDefault="000E2885" w:rsidP="008E76C5">
      <w:pPr>
        <w:jc w:val="center"/>
        <w:rPr>
          <w:rFonts w:ascii="Times New Roman" w:hAnsi="Times New Roman" w:cs="Times New Roman"/>
        </w:rPr>
      </w:pPr>
    </w:p>
    <w:p w14:paraId="7BD80B30" w14:textId="77777777" w:rsidR="000E2885" w:rsidRPr="00762923" w:rsidRDefault="000E2885" w:rsidP="008E76C5">
      <w:pPr>
        <w:jc w:val="center"/>
        <w:rPr>
          <w:rFonts w:ascii="Times New Roman" w:hAnsi="Times New Roman" w:cs="Times New Roman"/>
        </w:rPr>
      </w:pPr>
    </w:p>
    <w:p w14:paraId="59CE8FBF" w14:textId="7B797047" w:rsidR="00DF7DBC" w:rsidRPr="00762923" w:rsidRDefault="00DF7DBC" w:rsidP="008E76C5">
      <w:pPr>
        <w:jc w:val="center"/>
        <w:rPr>
          <w:rFonts w:ascii="Times New Roman" w:hAnsi="Times New Roman" w:cs="Times New Roman"/>
          <w:b/>
          <w:sz w:val="24"/>
        </w:rPr>
      </w:pPr>
      <w:r w:rsidRPr="00762923">
        <w:rPr>
          <w:rFonts w:ascii="Times New Roman" w:hAnsi="Times New Roman" w:cs="Times New Roman"/>
          <w:b/>
          <w:sz w:val="24"/>
        </w:rPr>
        <w:t>Table of Contents:</w:t>
      </w:r>
    </w:p>
    <w:p w14:paraId="7CD56048" w14:textId="188C129D" w:rsidR="00DF7DBC" w:rsidRPr="00762923" w:rsidRDefault="00C14E87" w:rsidP="00DF7DBC">
      <w:pPr>
        <w:pStyle w:val="ListParagraph"/>
        <w:numPr>
          <w:ilvl w:val="0"/>
          <w:numId w:val="1"/>
        </w:numPr>
        <w:jc w:val="center"/>
        <w:rPr>
          <w:rFonts w:ascii="Times New Roman" w:hAnsi="Times New Roman" w:cs="Times New Roman"/>
        </w:rPr>
      </w:pPr>
      <w:r w:rsidRPr="00762923">
        <w:rPr>
          <w:rFonts w:ascii="Times New Roman" w:hAnsi="Times New Roman" w:cs="Times New Roman"/>
        </w:rPr>
        <w:t>Kinetic</w:t>
      </w:r>
      <w:r w:rsidR="00DF7DBC" w:rsidRPr="00762923">
        <w:rPr>
          <w:rFonts w:ascii="Times New Roman" w:hAnsi="Times New Roman" w:cs="Times New Roman"/>
        </w:rPr>
        <w:t xml:space="preserve"> parameters </w:t>
      </w:r>
      <w:r w:rsidRPr="00762923">
        <w:rPr>
          <w:rFonts w:ascii="Times New Roman" w:hAnsi="Times New Roman" w:cs="Times New Roman"/>
        </w:rPr>
        <w:t xml:space="preserve">and kinetic isotope effects (KIE) </w:t>
      </w:r>
      <w:r w:rsidR="00DF7DBC" w:rsidRPr="00762923">
        <w:rPr>
          <w:rFonts w:ascii="Times New Roman" w:hAnsi="Times New Roman" w:cs="Times New Roman"/>
        </w:rPr>
        <w:t>us</w:t>
      </w:r>
      <w:r w:rsidRPr="00762923">
        <w:rPr>
          <w:rFonts w:ascii="Times New Roman" w:hAnsi="Times New Roman" w:cs="Times New Roman"/>
        </w:rPr>
        <w:t>ed in methane generation-</w:t>
      </w:r>
      <w:r w:rsidR="00DF7DBC" w:rsidRPr="00762923">
        <w:rPr>
          <w:rFonts w:ascii="Times New Roman" w:hAnsi="Times New Roman" w:cs="Times New Roman"/>
        </w:rPr>
        <w:t>exchange modeling</w:t>
      </w:r>
    </w:p>
    <w:p w14:paraId="0668DBCA" w14:textId="77777777" w:rsidR="00040449" w:rsidRDefault="00040449" w:rsidP="00040449">
      <w:pPr>
        <w:pStyle w:val="ListParagraph"/>
        <w:rPr>
          <w:rFonts w:ascii="Times New Roman" w:hAnsi="Times New Roman" w:cs="Times New Roman"/>
        </w:rPr>
      </w:pPr>
    </w:p>
    <w:p w14:paraId="50D7AD55" w14:textId="53E81D08" w:rsidR="00040449" w:rsidRPr="00762923" w:rsidRDefault="00E217EB" w:rsidP="00040449">
      <w:pPr>
        <w:pStyle w:val="ListParagraph"/>
        <w:numPr>
          <w:ilvl w:val="0"/>
          <w:numId w:val="1"/>
        </w:numPr>
        <w:jc w:val="center"/>
        <w:rPr>
          <w:rFonts w:ascii="Times New Roman" w:hAnsi="Times New Roman" w:cs="Times New Roman"/>
        </w:rPr>
      </w:pPr>
      <w:bookmarkStart w:id="0" w:name="_Hlk42638124"/>
      <w:r>
        <w:rPr>
          <w:rFonts w:ascii="Times New Roman" w:hAnsi="Times New Roman" w:cs="Times New Roman"/>
        </w:rPr>
        <w:t>Basin modeling of select</w:t>
      </w:r>
      <w:r w:rsidR="00281DB6">
        <w:rPr>
          <w:rFonts w:ascii="Times New Roman" w:hAnsi="Times New Roman" w:cs="Times New Roman"/>
        </w:rPr>
        <w:t>ed</w:t>
      </w:r>
      <w:r>
        <w:rPr>
          <w:rFonts w:ascii="Times New Roman" w:hAnsi="Times New Roman" w:cs="Times New Roman"/>
        </w:rPr>
        <w:t xml:space="preserve"> wells in the Eagle Ford Shale</w:t>
      </w:r>
    </w:p>
    <w:bookmarkEnd w:id="0"/>
    <w:p w14:paraId="50B2C735" w14:textId="77777777" w:rsidR="00A8447F" w:rsidRPr="00762923" w:rsidRDefault="00A8447F" w:rsidP="00A8447F">
      <w:pPr>
        <w:pStyle w:val="ListParagraph"/>
        <w:rPr>
          <w:rFonts w:ascii="Times New Roman" w:hAnsi="Times New Roman" w:cs="Times New Roman"/>
        </w:rPr>
      </w:pPr>
    </w:p>
    <w:p w14:paraId="37516115" w14:textId="29DC26E0" w:rsidR="00DF7DBC" w:rsidRPr="00762923" w:rsidRDefault="00AF731E" w:rsidP="00DF7DBC">
      <w:pPr>
        <w:pStyle w:val="ListParagraph"/>
        <w:numPr>
          <w:ilvl w:val="0"/>
          <w:numId w:val="1"/>
        </w:numPr>
        <w:jc w:val="center"/>
        <w:rPr>
          <w:rFonts w:ascii="Times New Roman" w:hAnsi="Times New Roman" w:cs="Times New Roman"/>
        </w:rPr>
      </w:pPr>
      <w:r w:rsidRPr="00762923">
        <w:rPr>
          <w:rFonts w:ascii="Times New Roman" w:hAnsi="Times New Roman" w:cs="Times New Roman"/>
        </w:rPr>
        <w:t>Usage of publications and reports containing compound-specific hydrogen isotope data</w:t>
      </w:r>
    </w:p>
    <w:p w14:paraId="1EEF8254" w14:textId="77777777" w:rsidR="00A8447F" w:rsidRDefault="00A8447F" w:rsidP="00A8447F">
      <w:pPr>
        <w:pStyle w:val="ListParagraph"/>
      </w:pPr>
    </w:p>
    <w:p w14:paraId="7DCC3A8F" w14:textId="0106FD3D" w:rsidR="00A8447F" w:rsidRDefault="00A8447F" w:rsidP="00A8447F">
      <w:pPr>
        <w:jc w:val="center"/>
      </w:pPr>
    </w:p>
    <w:p w14:paraId="042DAE35" w14:textId="09380821" w:rsidR="00A8447F" w:rsidRDefault="00A8447F" w:rsidP="00A8447F">
      <w:pPr>
        <w:jc w:val="center"/>
      </w:pPr>
    </w:p>
    <w:p w14:paraId="459C90E9" w14:textId="277055DF" w:rsidR="00A8447F" w:rsidRDefault="00A8447F" w:rsidP="00A8447F">
      <w:pPr>
        <w:jc w:val="center"/>
      </w:pPr>
    </w:p>
    <w:p w14:paraId="5D6F18AE" w14:textId="73600142" w:rsidR="00A8447F" w:rsidRDefault="00A8447F" w:rsidP="00A8447F">
      <w:pPr>
        <w:jc w:val="center"/>
      </w:pPr>
    </w:p>
    <w:p w14:paraId="451D38F0" w14:textId="3B432C67" w:rsidR="00A8447F" w:rsidRDefault="00A8447F" w:rsidP="00A8447F">
      <w:pPr>
        <w:jc w:val="center"/>
      </w:pPr>
    </w:p>
    <w:p w14:paraId="309D3191" w14:textId="0F46DFA9" w:rsidR="00A8447F" w:rsidRPr="00762923" w:rsidRDefault="00A8447F" w:rsidP="00A8447F">
      <w:pPr>
        <w:pStyle w:val="ListParagraph"/>
        <w:numPr>
          <w:ilvl w:val="0"/>
          <w:numId w:val="2"/>
        </w:numPr>
        <w:rPr>
          <w:rFonts w:ascii="Times New Roman" w:hAnsi="Times New Roman" w:cs="Times New Roman"/>
          <w:b/>
          <w:bCs/>
        </w:rPr>
      </w:pPr>
      <w:r w:rsidRPr="00762923">
        <w:rPr>
          <w:rFonts w:ascii="Times New Roman" w:hAnsi="Times New Roman" w:cs="Times New Roman"/>
          <w:b/>
          <w:bCs/>
        </w:rPr>
        <w:t>Kinetic parameters and kinetic isotope effects (KIE) used in methane generation-exchange modeling</w:t>
      </w:r>
    </w:p>
    <w:tbl>
      <w:tblPr>
        <w:tblW w:w="8190" w:type="dxa"/>
        <w:jc w:val="center"/>
        <w:tblLook w:val="04A0" w:firstRow="1" w:lastRow="0" w:firstColumn="1" w:lastColumn="0" w:noHBand="0" w:noVBand="1"/>
      </w:tblPr>
      <w:tblGrid>
        <w:gridCol w:w="1277"/>
        <w:gridCol w:w="1423"/>
        <w:gridCol w:w="2160"/>
        <w:gridCol w:w="3330"/>
      </w:tblGrid>
      <w:tr w:rsidR="00C44295" w:rsidRPr="00C44295" w14:paraId="40CEA9CF" w14:textId="77777777" w:rsidTr="00D32846">
        <w:trPr>
          <w:trHeight w:val="300"/>
          <w:jc w:val="center"/>
        </w:trPr>
        <w:tc>
          <w:tcPr>
            <w:tcW w:w="1277" w:type="dxa"/>
            <w:tcBorders>
              <w:top w:val="nil"/>
              <w:left w:val="nil"/>
              <w:bottom w:val="nil"/>
              <w:right w:val="single" w:sz="4" w:space="0" w:color="auto"/>
            </w:tcBorders>
            <w:shd w:val="clear" w:color="auto" w:fill="auto"/>
            <w:noWrap/>
            <w:vAlign w:val="bottom"/>
            <w:hideMark/>
          </w:tcPr>
          <w:p w14:paraId="23863733" w14:textId="7AAD3DF0" w:rsidR="00C44295" w:rsidRPr="00C44295" w:rsidRDefault="00C44295" w:rsidP="00C44295">
            <w:pPr>
              <w:spacing w:after="0" w:line="240" w:lineRule="auto"/>
              <w:jc w:val="center"/>
              <w:rPr>
                <w:rFonts w:ascii="Cambria" w:eastAsia="Times New Roman" w:hAnsi="Cambria" w:cs="Times New Roman"/>
                <w:szCs w:val="24"/>
              </w:rPr>
            </w:pPr>
            <w:r w:rsidRPr="00C44295">
              <w:rPr>
                <w:rFonts w:ascii="Cambria" w:eastAsia="Times New Roman" w:hAnsi="Cambria" w:cs="Times New Roman"/>
                <w:szCs w:val="24"/>
              </w:rPr>
              <w:t>Type</w:t>
            </w:r>
          </w:p>
        </w:tc>
        <w:tc>
          <w:tcPr>
            <w:tcW w:w="1423" w:type="dxa"/>
            <w:tcBorders>
              <w:top w:val="nil"/>
              <w:left w:val="single" w:sz="4" w:space="0" w:color="auto"/>
              <w:bottom w:val="nil"/>
              <w:right w:val="single" w:sz="4" w:space="0" w:color="auto"/>
            </w:tcBorders>
            <w:shd w:val="clear" w:color="auto" w:fill="auto"/>
            <w:noWrap/>
            <w:vAlign w:val="bottom"/>
            <w:hideMark/>
          </w:tcPr>
          <w:p w14:paraId="6F006D60" w14:textId="77777777" w:rsidR="00C44295" w:rsidRPr="00C44295" w:rsidRDefault="00C44295" w:rsidP="00C44295">
            <w:pPr>
              <w:spacing w:after="0" w:line="240" w:lineRule="auto"/>
              <w:jc w:val="center"/>
              <w:rPr>
                <w:rFonts w:ascii="Cambria" w:eastAsia="Times New Roman" w:hAnsi="Cambria" w:cs="Calibri"/>
                <w:color w:val="000000"/>
              </w:rPr>
            </w:pPr>
            <w:r w:rsidRPr="00C44295">
              <w:rPr>
                <w:rFonts w:ascii="Cambria" w:eastAsia="Times New Roman" w:hAnsi="Cambria" w:cs="Calibri"/>
                <w:color w:val="000000"/>
              </w:rPr>
              <w:t>Parameter</w:t>
            </w:r>
          </w:p>
        </w:tc>
        <w:tc>
          <w:tcPr>
            <w:tcW w:w="2160" w:type="dxa"/>
            <w:tcBorders>
              <w:top w:val="nil"/>
              <w:left w:val="single" w:sz="4" w:space="0" w:color="auto"/>
              <w:bottom w:val="nil"/>
              <w:right w:val="single" w:sz="4" w:space="0" w:color="auto"/>
            </w:tcBorders>
            <w:shd w:val="clear" w:color="auto" w:fill="auto"/>
            <w:noWrap/>
            <w:vAlign w:val="bottom"/>
            <w:hideMark/>
          </w:tcPr>
          <w:p w14:paraId="7E70F182" w14:textId="6C2D95FF" w:rsidR="00C44295" w:rsidRPr="00C44295" w:rsidRDefault="000F7A8C" w:rsidP="00C44295">
            <w:pPr>
              <w:spacing w:after="0" w:line="240" w:lineRule="auto"/>
              <w:jc w:val="center"/>
              <w:rPr>
                <w:rFonts w:ascii="Cambria" w:eastAsia="Times New Roman" w:hAnsi="Cambria" w:cs="Calibri"/>
                <w:color w:val="000000"/>
              </w:rPr>
            </w:pPr>
            <w:r>
              <w:rPr>
                <w:rFonts w:ascii="Cambria" w:eastAsia="Times New Roman" w:hAnsi="Cambria" w:cs="Calibri"/>
                <w:color w:val="000000"/>
              </w:rPr>
              <w:t>Value</w:t>
            </w:r>
          </w:p>
        </w:tc>
        <w:tc>
          <w:tcPr>
            <w:tcW w:w="3330" w:type="dxa"/>
            <w:tcBorders>
              <w:top w:val="nil"/>
              <w:left w:val="single" w:sz="4" w:space="0" w:color="auto"/>
              <w:bottom w:val="nil"/>
              <w:right w:val="nil"/>
            </w:tcBorders>
            <w:shd w:val="clear" w:color="auto" w:fill="auto"/>
            <w:noWrap/>
            <w:vAlign w:val="bottom"/>
            <w:hideMark/>
          </w:tcPr>
          <w:p w14:paraId="4DEE0F52" w14:textId="2D5CC0AE" w:rsidR="00C44295" w:rsidRPr="00C44295" w:rsidRDefault="00A14B65" w:rsidP="00C44295">
            <w:pPr>
              <w:spacing w:after="0" w:line="240" w:lineRule="auto"/>
              <w:jc w:val="center"/>
              <w:rPr>
                <w:rFonts w:ascii="Cambria" w:eastAsia="Times New Roman" w:hAnsi="Cambria" w:cs="Calibri"/>
                <w:color w:val="000000"/>
              </w:rPr>
            </w:pPr>
            <w:r>
              <w:rPr>
                <w:rFonts w:ascii="Cambria" w:eastAsia="Times New Roman" w:hAnsi="Cambria" w:cs="Calibri"/>
                <w:color w:val="000000"/>
              </w:rPr>
              <w:t>Note</w:t>
            </w:r>
          </w:p>
        </w:tc>
      </w:tr>
      <w:tr w:rsidR="00C44295" w:rsidRPr="00C44295" w14:paraId="3BEC8C2E" w14:textId="77777777" w:rsidTr="00D32846">
        <w:trPr>
          <w:trHeight w:val="300"/>
          <w:jc w:val="center"/>
        </w:trPr>
        <w:tc>
          <w:tcPr>
            <w:tcW w:w="1277"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3554F0D"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KIE</w:t>
            </w:r>
          </w:p>
        </w:tc>
        <w:tc>
          <w:tcPr>
            <w:tcW w:w="1423" w:type="dxa"/>
            <w:tcBorders>
              <w:top w:val="single" w:sz="4" w:space="0" w:color="auto"/>
              <w:left w:val="single" w:sz="4" w:space="0" w:color="auto"/>
              <w:bottom w:val="nil"/>
              <w:right w:val="single" w:sz="4" w:space="0" w:color="auto"/>
            </w:tcBorders>
            <w:shd w:val="clear" w:color="auto" w:fill="auto"/>
            <w:noWrap/>
            <w:vAlign w:val="center"/>
            <w:hideMark/>
          </w:tcPr>
          <w:p w14:paraId="0AC6924C"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α</w:t>
            </w:r>
            <w:r w:rsidRPr="00C44295">
              <w:rPr>
                <w:rFonts w:ascii="Cambria" w:eastAsia="Times New Roman" w:hAnsi="Cambria" w:cs="Calibri"/>
                <w:color w:val="000000"/>
                <w:sz w:val="20"/>
                <w:szCs w:val="20"/>
                <w:vertAlign w:val="superscript"/>
              </w:rPr>
              <w:t>13</w:t>
            </w:r>
            <w:r w:rsidRPr="00C44295">
              <w:rPr>
                <w:rFonts w:ascii="Cambria" w:eastAsia="Times New Roman" w:hAnsi="Cambria" w:cs="Calibri"/>
                <w:color w:val="000000"/>
                <w:sz w:val="20"/>
                <w:szCs w:val="20"/>
              </w:rPr>
              <w:t>CH</w:t>
            </w:r>
            <w:r w:rsidRPr="00C44295">
              <w:rPr>
                <w:rFonts w:ascii="Cambria" w:eastAsia="Times New Roman" w:hAnsi="Cambria" w:cs="Calibri"/>
                <w:color w:val="000000"/>
                <w:sz w:val="20"/>
                <w:szCs w:val="20"/>
                <w:vertAlign w:val="subscript"/>
              </w:rPr>
              <w:t>3</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7EE728A6"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0.978</w:t>
            </w:r>
          </w:p>
        </w:tc>
        <w:tc>
          <w:tcPr>
            <w:tcW w:w="3330" w:type="dxa"/>
            <w:tcBorders>
              <w:top w:val="single" w:sz="4" w:space="0" w:color="auto"/>
              <w:left w:val="single" w:sz="4" w:space="0" w:color="auto"/>
              <w:bottom w:val="nil"/>
              <w:right w:val="nil"/>
            </w:tcBorders>
            <w:shd w:val="clear" w:color="auto" w:fill="auto"/>
            <w:noWrap/>
            <w:vAlign w:val="center"/>
            <w:hideMark/>
          </w:tcPr>
          <w:p w14:paraId="050F6D9B" w14:textId="25A44188" w:rsidR="00C44295" w:rsidRPr="00C44295" w:rsidRDefault="000F7A8C"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Tang et al.</w:t>
            </w:r>
            <w:r w:rsidR="00C44295" w:rsidRPr="00C44295">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w:t>
            </w:r>
            <w:r w:rsidR="00C44295" w:rsidRPr="00C44295">
              <w:rPr>
                <w:rFonts w:ascii="Cambria" w:eastAsia="Times New Roman" w:hAnsi="Cambria" w:cs="Calibri"/>
                <w:color w:val="000000"/>
                <w:sz w:val="20"/>
                <w:szCs w:val="20"/>
              </w:rPr>
              <w:t>2000</w:t>
            </w:r>
            <w:r>
              <w:rPr>
                <w:rFonts w:ascii="Cambria" w:eastAsia="Times New Roman" w:hAnsi="Cambria" w:cs="Calibri"/>
                <w:color w:val="000000"/>
                <w:sz w:val="20"/>
                <w:szCs w:val="20"/>
              </w:rPr>
              <w:t>)</w:t>
            </w:r>
          </w:p>
        </w:tc>
      </w:tr>
      <w:tr w:rsidR="00C44295" w:rsidRPr="00C44295" w14:paraId="7AF7AB3E" w14:textId="77777777" w:rsidTr="00D32846">
        <w:trPr>
          <w:trHeight w:val="300"/>
          <w:jc w:val="center"/>
        </w:trPr>
        <w:tc>
          <w:tcPr>
            <w:tcW w:w="1277" w:type="dxa"/>
            <w:vMerge/>
            <w:tcBorders>
              <w:top w:val="single" w:sz="4" w:space="0" w:color="auto"/>
              <w:left w:val="nil"/>
              <w:bottom w:val="single" w:sz="4" w:space="0" w:color="000000"/>
              <w:right w:val="single" w:sz="4" w:space="0" w:color="auto"/>
            </w:tcBorders>
            <w:vAlign w:val="center"/>
            <w:hideMark/>
          </w:tcPr>
          <w:p w14:paraId="7CCA9560"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02D18DD2"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α</w:t>
            </w:r>
            <w:r w:rsidRPr="00C44295">
              <w:rPr>
                <w:rFonts w:ascii="Cambria" w:eastAsia="Times New Roman" w:hAnsi="Cambria" w:cs="Calibri"/>
                <w:color w:val="000000"/>
                <w:sz w:val="20"/>
                <w:szCs w:val="20"/>
                <w:vertAlign w:val="superscript"/>
              </w:rPr>
              <w:t>12</w:t>
            </w:r>
            <w:r w:rsidRPr="00C44295">
              <w:rPr>
                <w:rFonts w:ascii="Cambria" w:eastAsia="Times New Roman" w:hAnsi="Cambria" w:cs="Calibri"/>
                <w:color w:val="000000"/>
                <w:sz w:val="20"/>
                <w:szCs w:val="20"/>
              </w:rPr>
              <w:t>CH</w:t>
            </w:r>
            <w:r w:rsidRPr="00C44295">
              <w:rPr>
                <w:rFonts w:ascii="Cambria" w:eastAsia="Times New Roman" w:hAnsi="Cambria" w:cs="Calibri"/>
                <w:color w:val="000000"/>
                <w:sz w:val="20"/>
                <w:szCs w:val="20"/>
                <w:vertAlign w:val="subscript"/>
              </w:rPr>
              <w:t>2</w:t>
            </w:r>
            <w:r w:rsidRPr="00C44295">
              <w:rPr>
                <w:rFonts w:ascii="Cambria" w:eastAsia="Times New Roman" w:hAnsi="Cambria" w:cs="Calibri"/>
                <w:color w:val="000000"/>
                <w:sz w:val="20"/>
                <w:szCs w:val="20"/>
              </w:rPr>
              <w:t>D</w:t>
            </w:r>
          </w:p>
        </w:tc>
        <w:tc>
          <w:tcPr>
            <w:tcW w:w="2160" w:type="dxa"/>
            <w:tcBorders>
              <w:top w:val="nil"/>
              <w:left w:val="single" w:sz="4" w:space="0" w:color="auto"/>
              <w:bottom w:val="nil"/>
              <w:right w:val="single" w:sz="4" w:space="0" w:color="auto"/>
            </w:tcBorders>
            <w:shd w:val="clear" w:color="auto" w:fill="auto"/>
            <w:noWrap/>
            <w:vAlign w:val="center"/>
            <w:hideMark/>
          </w:tcPr>
          <w:p w14:paraId="3C3A7433"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0.7</w:t>
            </w:r>
          </w:p>
        </w:tc>
        <w:tc>
          <w:tcPr>
            <w:tcW w:w="3330" w:type="dxa"/>
            <w:tcBorders>
              <w:top w:val="nil"/>
              <w:left w:val="single" w:sz="4" w:space="0" w:color="auto"/>
              <w:bottom w:val="nil"/>
              <w:right w:val="nil"/>
            </w:tcBorders>
            <w:shd w:val="clear" w:color="auto" w:fill="auto"/>
            <w:noWrap/>
            <w:vAlign w:val="center"/>
            <w:hideMark/>
          </w:tcPr>
          <w:p w14:paraId="2988AA3D" w14:textId="7AFF6417" w:rsidR="00C44295" w:rsidRPr="00C44295" w:rsidRDefault="000F7A8C"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Ni et al.</w:t>
            </w:r>
            <w:r w:rsidR="00C44295" w:rsidRPr="00C44295">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w:t>
            </w:r>
            <w:r w:rsidR="00C44295" w:rsidRPr="00C44295">
              <w:rPr>
                <w:rFonts w:ascii="Cambria" w:eastAsia="Times New Roman" w:hAnsi="Cambria" w:cs="Calibri"/>
                <w:color w:val="000000"/>
                <w:sz w:val="20"/>
                <w:szCs w:val="20"/>
              </w:rPr>
              <w:t>2011</w:t>
            </w:r>
            <w:r>
              <w:rPr>
                <w:rFonts w:ascii="Cambria" w:eastAsia="Times New Roman" w:hAnsi="Cambria" w:cs="Calibri"/>
                <w:color w:val="000000"/>
                <w:sz w:val="20"/>
                <w:szCs w:val="20"/>
              </w:rPr>
              <w:t>)</w:t>
            </w:r>
          </w:p>
        </w:tc>
      </w:tr>
      <w:tr w:rsidR="00C44295" w:rsidRPr="00C44295" w14:paraId="525EA033" w14:textId="77777777" w:rsidTr="00D32846">
        <w:trPr>
          <w:trHeight w:val="300"/>
          <w:jc w:val="center"/>
        </w:trPr>
        <w:tc>
          <w:tcPr>
            <w:tcW w:w="1277" w:type="dxa"/>
            <w:vMerge/>
            <w:tcBorders>
              <w:top w:val="single" w:sz="4" w:space="0" w:color="auto"/>
              <w:left w:val="nil"/>
              <w:bottom w:val="single" w:sz="4" w:space="0" w:color="000000"/>
              <w:right w:val="single" w:sz="4" w:space="0" w:color="auto"/>
            </w:tcBorders>
            <w:vAlign w:val="center"/>
            <w:hideMark/>
          </w:tcPr>
          <w:p w14:paraId="0A715580"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38E9B93C"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α</w:t>
            </w:r>
            <w:r w:rsidRPr="00C44295">
              <w:rPr>
                <w:rFonts w:ascii="Cambria" w:eastAsia="Times New Roman" w:hAnsi="Cambria" w:cs="Calibri"/>
                <w:color w:val="000000"/>
                <w:sz w:val="20"/>
                <w:szCs w:val="20"/>
                <w:vertAlign w:val="superscript"/>
              </w:rPr>
              <w:t>13</w:t>
            </w:r>
            <w:r w:rsidRPr="00C44295">
              <w:rPr>
                <w:rFonts w:ascii="Cambria" w:eastAsia="Times New Roman" w:hAnsi="Cambria" w:cs="Calibri"/>
                <w:color w:val="000000"/>
                <w:sz w:val="20"/>
                <w:szCs w:val="20"/>
              </w:rPr>
              <w:t>CH</w:t>
            </w:r>
            <w:r w:rsidRPr="00C44295">
              <w:rPr>
                <w:rFonts w:ascii="Cambria" w:eastAsia="Times New Roman" w:hAnsi="Cambria" w:cs="Calibri"/>
                <w:color w:val="000000"/>
                <w:sz w:val="20"/>
                <w:szCs w:val="20"/>
                <w:vertAlign w:val="subscript"/>
              </w:rPr>
              <w:t>2</w:t>
            </w:r>
            <w:r w:rsidRPr="00C44295">
              <w:rPr>
                <w:rFonts w:ascii="Cambria" w:eastAsia="Times New Roman" w:hAnsi="Cambria" w:cs="Calibri"/>
                <w:color w:val="000000"/>
                <w:sz w:val="20"/>
                <w:szCs w:val="20"/>
              </w:rPr>
              <w:t>D</w:t>
            </w:r>
          </w:p>
        </w:tc>
        <w:tc>
          <w:tcPr>
            <w:tcW w:w="2160" w:type="dxa"/>
            <w:tcBorders>
              <w:top w:val="nil"/>
              <w:left w:val="single" w:sz="4" w:space="0" w:color="auto"/>
              <w:bottom w:val="nil"/>
              <w:right w:val="single" w:sz="4" w:space="0" w:color="auto"/>
            </w:tcBorders>
            <w:shd w:val="clear" w:color="auto" w:fill="auto"/>
            <w:noWrap/>
            <w:vAlign w:val="center"/>
            <w:hideMark/>
          </w:tcPr>
          <w:p w14:paraId="7974134D" w14:textId="5139D0A4" w:rsidR="00C44295" w:rsidRPr="00C44295" w:rsidRDefault="00102251"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γ</w:t>
            </w:r>
            <w:r w:rsidRPr="00C44295">
              <w:rPr>
                <w:rFonts w:ascii="Cambria" w:eastAsia="Times New Roman" w:hAnsi="Cambria" w:cs="Calibri"/>
                <w:color w:val="000000"/>
                <w:sz w:val="20"/>
                <w:szCs w:val="20"/>
                <w:vertAlign w:val="superscript"/>
              </w:rPr>
              <w:t>13</w:t>
            </w:r>
            <w:r w:rsidRPr="00C44295">
              <w:rPr>
                <w:rFonts w:ascii="Cambria" w:eastAsia="Times New Roman" w:hAnsi="Cambria" w:cs="Calibri"/>
                <w:color w:val="000000"/>
                <w:sz w:val="20"/>
                <w:szCs w:val="20"/>
              </w:rPr>
              <w:t>CH</w:t>
            </w:r>
            <w:r w:rsidRPr="00C44295">
              <w:rPr>
                <w:rFonts w:ascii="Cambria" w:eastAsia="Times New Roman" w:hAnsi="Cambria" w:cs="Calibri"/>
                <w:color w:val="000000"/>
                <w:sz w:val="20"/>
                <w:szCs w:val="20"/>
                <w:vertAlign w:val="subscript"/>
              </w:rPr>
              <w:t>2</w:t>
            </w:r>
            <w:r w:rsidRPr="00C44295">
              <w:rPr>
                <w:rFonts w:ascii="Cambria" w:eastAsia="Times New Roman" w:hAnsi="Cambria" w:cs="Calibri"/>
                <w:color w:val="000000"/>
                <w:sz w:val="20"/>
                <w:szCs w:val="20"/>
              </w:rPr>
              <w:t>D</w:t>
            </w:r>
            <w:r>
              <w:rPr>
                <w:rFonts w:ascii="Cambria" w:eastAsia="Times New Roman" w:hAnsi="Cambria" w:cs="Calibri"/>
                <w:color w:val="000000"/>
                <w:sz w:val="20"/>
                <w:szCs w:val="20"/>
              </w:rPr>
              <w:t>*</w:t>
            </w:r>
            <w:r w:rsidR="00C44295" w:rsidRPr="00C44295">
              <w:rPr>
                <w:rFonts w:ascii="Cambria" w:eastAsia="Times New Roman" w:hAnsi="Cambria" w:cs="Calibri"/>
                <w:color w:val="000000"/>
                <w:sz w:val="20"/>
                <w:szCs w:val="20"/>
              </w:rPr>
              <w:t>α</w:t>
            </w:r>
            <w:r w:rsidR="00C44295" w:rsidRPr="00C44295">
              <w:rPr>
                <w:rFonts w:ascii="Cambria" w:eastAsia="Times New Roman" w:hAnsi="Cambria" w:cs="Calibri"/>
                <w:color w:val="000000"/>
                <w:sz w:val="20"/>
                <w:szCs w:val="20"/>
                <w:vertAlign w:val="superscript"/>
              </w:rPr>
              <w:t>13</w:t>
            </w:r>
            <w:r w:rsidR="00C44295" w:rsidRPr="00C44295">
              <w:rPr>
                <w:rFonts w:ascii="Cambria" w:eastAsia="Times New Roman" w:hAnsi="Cambria" w:cs="Calibri"/>
                <w:color w:val="000000"/>
                <w:sz w:val="20"/>
                <w:szCs w:val="20"/>
              </w:rPr>
              <w:t>CH</w:t>
            </w:r>
            <w:r w:rsidR="00C44295" w:rsidRPr="00C44295">
              <w:rPr>
                <w:rFonts w:ascii="Cambria" w:eastAsia="Times New Roman" w:hAnsi="Cambria" w:cs="Calibri"/>
                <w:color w:val="000000"/>
                <w:sz w:val="20"/>
                <w:szCs w:val="20"/>
                <w:vertAlign w:val="subscript"/>
              </w:rPr>
              <w:t>3</w:t>
            </w:r>
            <w:r w:rsidR="000178A8">
              <w:rPr>
                <w:rFonts w:ascii="Cambria" w:eastAsia="Times New Roman" w:hAnsi="Cambria" w:cs="Calibri"/>
                <w:color w:val="000000"/>
                <w:sz w:val="20"/>
                <w:szCs w:val="20"/>
                <w:vertAlign w:val="subscript"/>
              </w:rPr>
              <w:t xml:space="preserve"> </w:t>
            </w:r>
            <w:r>
              <w:rPr>
                <w:rFonts w:ascii="Cambria" w:eastAsia="Times New Roman" w:hAnsi="Cambria" w:cs="Calibri"/>
                <w:color w:val="000000"/>
                <w:sz w:val="20"/>
                <w:szCs w:val="20"/>
              </w:rPr>
              <w:t>*</w:t>
            </w:r>
            <w:r w:rsidR="00C44295" w:rsidRPr="00C44295">
              <w:rPr>
                <w:rFonts w:ascii="Cambria" w:eastAsia="Times New Roman" w:hAnsi="Cambria" w:cs="Calibri"/>
                <w:color w:val="000000"/>
                <w:sz w:val="20"/>
                <w:szCs w:val="20"/>
              </w:rPr>
              <w:t>α</w:t>
            </w:r>
            <w:r w:rsidR="00C44295" w:rsidRPr="00C44295">
              <w:rPr>
                <w:rFonts w:ascii="Cambria" w:eastAsia="Times New Roman" w:hAnsi="Cambria" w:cs="Calibri"/>
                <w:color w:val="000000"/>
                <w:sz w:val="20"/>
                <w:szCs w:val="20"/>
                <w:vertAlign w:val="superscript"/>
              </w:rPr>
              <w:t>12</w:t>
            </w:r>
            <w:r w:rsidR="00C44295" w:rsidRPr="00C44295">
              <w:rPr>
                <w:rFonts w:ascii="Cambria" w:eastAsia="Times New Roman" w:hAnsi="Cambria" w:cs="Calibri"/>
                <w:color w:val="000000"/>
                <w:sz w:val="20"/>
                <w:szCs w:val="20"/>
              </w:rPr>
              <w:t>CH</w:t>
            </w:r>
            <w:r w:rsidR="00C44295" w:rsidRPr="00C44295">
              <w:rPr>
                <w:rFonts w:ascii="Cambria" w:eastAsia="Times New Roman" w:hAnsi="Cambria" w:cs="Calibri"/>
                <w:color w:val="000000"/>
                <w:sz w:val="20"/>
                <w:szCs w:val="20"/>
                <w:vertAlign w:val="subscript"/>
              </w:rPr>
              <w:t>2</w:t>
            </w:r>
            <w:r w:rsidR="00C44295" w:rsidRPr="00C44295">
              <w:rPr>
                <w:rFonts w:ascii="Cambria" w:eastAsia="Times New Roman" w:hAnsi="Cambria" w:cs="Calibri"/>
                <w:color w:val="000000"/>
                <w:sz w:val="20"/>
                <w:szCs w:val="20"/>
              </w:rPr>
              <w:t>D</w:t>
            </w:r>
          </w:p>
        </w:tc>
        <w:tc>
          <w:tcPr>
            <w:tcW w:w="3330" w:type="dxa"/>
            <w:tcBorders>
              <w:top w:val="nil"/>
              <w:left w:val="single" w:sz="4" w:space="0" w:color="auto"/>
              <w:bottom w:val="nil"/>
              <w:right w:val="nil"/>
            </w:tcBorders>
            <w:shd w:val="clear" w:color="auto" w:fill="auto"/>
            <w:noWrap/>
            <w:vAlign w:val="center"/>
            <w:hideMark/>
          </w:tcPr>
          <w:p w14:paraId="75156F60" w14:textId="4327E6EA" w:rsidR="00C44295" w:rsidRPr="00C44295" w:rsidRDefault="006A4AD3" w:rsidP="000F7A8C">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w:t>
            </w:r>
          </w:p>
        </w:tc>
      </w:tr>
      <w:tr w:rsidR="00C44295" w:rsidRPr="00C44295" w14:paraId="7455BC35" w14:textId="77777777" w:rsidTr="00D32846">
        <w:trPr>
          <w:trHeight w:val="300"/>
          <w:jc w:val="center"/>
        </w:trPr>
        <w:tc>
          <w:tcPr>
            <w:tcW w:w="1277" w:type="dxa"/>
            <w:vMerge/>
            <w:tcBorders>
              <w:top w:val="single" w:sz="4" w:space="0" w:color="auto"/>
              <w:left w:val="nil"/>
              <w:bottom w:val="single" w:sz="4" w:space="0" w:color="000000"/>
              <w:right w:val="single" w:sz="4" w:space="0" w:color="auto"/>
            </w:tcBorders>
            <w:vAlign w:val="center"/>
            <w:hideMark/>
          </w:tcPr>
          <w:p w14:paraId="133494C7"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633C5E5F"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α</w:t>
            </w:r>
            <w:r w:rsidRPr="00C44295">
              <w:rPr>
                <w:rFonts w:ascii="Cambria" w:eastAsia="Times New Roman" w:hAnsi="Cambria" w:cs="Calibri"/>
                <w:color w:val="000000"/>
                <w:sz w:val="20"/>
                <w:szCs w:val="20"/>
                <w:vertAlign w:val="superscript"/>
              </w:rPr>
              <w:t>12</w:t>
            </w:r>
            <w:r w:rsidRPr="00C44295">
              <w:rPr>
                <w:rFonts w:ascii="Cambria" w:eastAsia="Times New Roman" w:hAnsi="Cambria" w:cs="Calibri"/>
                <w:color w:val="000000"/>
                <w:sz w:val="20"/>
                <w:szCs w:val="20"/>
              </w:rPr>
              <w:t>CHD</w:t>
            </w:r>
            <w:r w:rsidRPr="00C44295">
              <w:rPr>
                <w:rFonts w:ascii="Cambria" w:eastAsia="Times New Roman" w:hAnsi="Cambria" w:cs="Calibri"/>
                <w:color w:val="000000"/>
                <w:sz w:val="20"/>
                <w:szCs w:val="20"/>
                <w:vertAlign w:val="subscript"/>
              </w:rPr>
              <w:t>2</w:t>
            </w:r>
          </w:p>
        </w:tc>
        <w:tc>
          <w:tcPr>
            <w:tcW w:w="2160" w:type="dxa"/>
            <w:tcBorders>
              <w:top w:val="nil"/>
              <w:left w:val="single" w:sz="4" w:space="0" w:color="auto"/>
              <w:bottom w:val="nil"/>
              <w:right w:val="single" w:sz="4" w:space="0" w:color="auto"/>
            </w:tcBorders>
            <w:shd w:val="clear" w:color="auto" w:fill="auto"/>
            <w:noWrap/>
            <w:vAlign w:val="center"/>
            <w:hideMark/>
          </w:tcPr>
          <w:p w14:paraId="1DFD58AD" w14:textId="521DE6C8" w:rsidR="00C44295" w:rsidRPr="00C44295" w:rsidRDefault="003279A2"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γ</w:t>
            </w:r>
            <w:r w:rsidRPr="00C44295">
              <w:rPr>
                <w:rFonts w:ascii="Cambria" w:eastAsia="Times New Roman" w:hAnsi="Cambria" w:cs="Calibri"/>
                <w:color w:val="000000"/>
                <w:sz w:val="20"/>
                <w:szCs w:val="20"/>
                <w:vertAlign w:val="superscript"/>
              </w:rPr>
              <w:t>1</w:t>
            </w:r>
            <w:r>
              <w:rPr>
                <w:rFonts w:ascii="Cambria" w:eastAsia="Times New Roman" w:hAnsi="Cambria" w:cs="Calibri"/>
                <w:color w:val="000000"/>
                <w:sz w:val="20"/>
                <w:szCs w:val="20"/>
                <w:vertAlign w:val="superscript"/>
              </w:rPr>
              <w:t>2</w:t>
            </w:r>
            <w:r w:rsidRPr="00C44295">
              <w:rPr>
                <w:rFonts w:ascii="Cambria" w:eastAsia="Times New Roman" w:hAnsi="Cambria" w:cs="Calibri"/>
                <w:color w:val="000000"/>
                <w:sz w:val="20"/>
                <w:szCs w:val="20"/>
              </w:rPr>
              <w:t>CHD</w:t>
            </w:r>
            <w:r>
              <w:rPr>
                <w:rFonts w:ascii="Cambria" w:eastAsia="Times New Roman" w:hAnsi="Cambria" w:cs="Calibri"/>
                <w:color w:val="000000"/>
                <w:sz w:val="20"/>
                <w:szCs w:val="20"/>
                <w:vertAlign w:val="subscript"/>
              </w:rPr>
              <w:t>2</w:t>
            </w:r>
            <w:r w:rsidR="000F7A8C">
              <w:rPr>
                <w:rFonts w:ascii="Cambria" w:eastAsia="Times New Roman" w:hAnsi="Cambria" w:cs="Calibri"/>
                <w:color w:val="000000"/>
                <w:sz w:val="20"/>
                <w:szCs w:val="20"/>
              </w:rPr>
              <w:t>(</w:t>
            </w:r>
            <w:r w:rsidR="000F7A8C" w:rsidRPr="00C44295">
              <w:rPr>
                <w:rFonts w:ascii="Cambria" w:eastAsia="Times New Roman" w:hAnsi="Cambria" w:cs="Calibri"/>
                <w:color w:val="000000"/>
                <w:sz w:val="20"/>
                <w:szCs w:val="20"/>
              </w:rPr>
              <w:t>α</w:t>
            </w:r>
            <w:r w:rsidR="000F7A8C" w:rsidRPr="00C44295">
              <w:rPr>
                <w:rFonts w:ascii="Cambria" w:eastAsia="Times New Roman" w:hAnsi="Cambria" w:cs="Calibri"/>
                <w:color w:val="000000"/>
                <w:sz w:val="20"/>
                <w:szCs w:val="20"/>
                <w:vertAlign w:val="superscript"/>
              </w:rPr>
              <w:t>12</w:t>
            </w:r>
            <w:r w:rsidR="000F7A8C" w:rsidRPr="00C44295">
              <w:rPr>
                <w:rFonts w:ascii="Cambria" w:eastAsia="Times New Roman" w:hAnsi="Cambria" w:cs="Calibri"/>
                <w:color w:val="000000"/>
                <w:sz w:val="20"/>
                <w:szCs w:val="20"/>
              </w:rPr>
              <w:t>CH</w:t>
            </w:r>
            <w:r w:rsidR="000F7A8C" w:rsidRPr="00C44295">
              <w:rPr>
                <w:rFonts w:ascii="Cambria" w:eastAsia="Times New Roman" w:hAnsi="Cambria" w:cs="Calibri"/>
                <w:color w:val="000000"/>
                <w:sz w:val="20"/>
                <w:szCs w:val="20"/>
                <w:vertAlign w:val="subscript"/>
              </w:rPr>
              <w:t>2</w:t>
            </w:r>
            <w:r w:rsidR="000F7A8C" w:rsidRPr="00C44295">
              <w:rPr>
                <w:rFonts w:ascii="Cambria" w:eastAsia="Times New Roman" w:hAnsi="Cambria" w:cs="Calibri"/>
                <w:color w:val="000000"/>
                <w:sz w:val="20"/>
                <w:szCs w:val="20"/>
              </w:rPr>
              <w:t>D</w:t>
            </w:r>
            <w:r w:rsidR="000F7A8C">
              <w:rPr>
                <w:rFonts w:ascii="Cambria" w:eastAsia="Times New Roman" w:hAnsi="Cambria" w:cs="Calibri"/>
                <w:color w:val="000000"/>
                <w:sz w:val="20"/>
                <w:szCs w:val="20"/>
              </w:rPr>
              <w:t>)</w:t>
            </w:r>
            <w:r w:rsidR="000F7A8C">
              <w:rPr>
                <w:rFonts w:ascii="Cambria" w:eastAsia="Times New Roman" w:hAnsi="Cambria" w:cs="Calibri"/>
                <w:color w:val="000000"/>
                <w:sz w:val="20"/>
                <w:szCs w:val="20"/>
                <w:vertAlign w:val="superscript"/>
              </w:rPr>
              <w:t>2</w:t>
            </w:r>
          </w:p>
        </w:tc>
        <w:tc>
          <w:tcPr>
            <w:tcW w:w="3330" w:type="dxa"/>
            <w:tcBorders>
              <w:top w:val="nil"/>
              <w:left w:val="single" w:sz="4" w:space="0" w:color="auto"/>
              <w:bottom w:val="nil"/>
              <w:right w:val="nil"/>
            </w:tcBorders>
            <w:shd w:val="clear" w:color="auto" w:fill="auto"/>
            <w:noWrap/>
            <w:vAlign w:val="center"/>
            <w:hideMark/>
          </w:tcPr>
          <w:p w14:paraId="1B3FA97C" w14:textId="61BACB45" w:rsidR="00C44295" w:rsidRPr="00C44295" w:rsidRDefault="006A4AD3" w:rsidP="000F7A8C">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w:t>
            </w:r>
          </w:p>
        </w:tc>
      </w:tr>
      <w:tr w:rsidR="00C44295" w:rsidRPr="000F7A8C" w14:paraId="68199BDE" w14:textId="77777777" w:rsidTr="002B54F5">
        <w:trPr>
          <w:trHeight w:val="440"/>
          <w:jc w:val="center"/>
        </w:trPr>
        <w:tc>
          <w:tcPr>
            <w:tcW w:w="1277" w:type="dxa"/>
            <w:vMerge/>
            <w:tcBorders>
              <w:top w:val="single" w:sz="4" w:space="0" w:color="auto"/>
              <w:left w:val="nil"/>
              <w:bottom w:val="single" w:sz="4" w:space="0" w:color="000000"/>
              <w:right w:val="single" w:sz="4" w:space="0" w:color="auto"/>
            </w:tcBorders>
            <w:vAlign w:val="center"/>
            <w:hideMark/>
          </w:tcPr>
          <w:p w14:paraId="18222602"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118CBCD"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α</w:t>
            </w:r>
            <w:r w:rsidRPr="00C44295">
              <w:rPr>
                <w:rFonts w:ascii="Cambria" w:eastAsia="Times New Roman" w:hAnsi="Cambria" w:cs="Calibri"/>
                <w:color w:val="000000"/>
                <w:sz w:val="20"/>
                <w:szCs w:val="20"/>
                <w:vertAlign w:val="subscript"/>
              </w:rPr>
              <w:t>cap</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F4F76B3" w14:textId="630926BD" w:rsidR="00C44295" w:rsidRPr="00C44295" w:rsidRDefault="000F7A8C"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0.33</w:t>
            </w:r>
          </w:p>
        </w:tc>
        <w:tc>
          <w:tcPr>
            <w:tcW w:w="3330" w:type="dxa"/>
            <w:tcBorders>
              <w:top w:val="nil"/>
              <w:left w:val="single" w:sz="4" w:space="0" w:color="auto"/>
              <w:bottom w:val="single" w:sz="4" w:space="0" w:color="auto"/>
              <w:right w:val="nil"/>
            </w:tcBorders>
            <w:shd w:val="clear" w:color="auto" w:fill="auto"/>
            <w:noWrap/>
            <w:vAlign w:val="center"/>
            <w:hideMark/>
          </w:tcPr>
          <w:p w14:paraId="06899B5B" w14:textId="0664C689" w:rsidR="00C44295" w:rsidRPr="00C44295" w:rsidRDefault="000F7A8C" w:rsidP="00D32846">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 xml:space="preserve">Extrapolation to </w:t>
            </w:r>
            <w:r w:rsidR="00D32846">
              <w:rPr>
                <w:rFonts w:ascii="Cambria" w:eastAsia="Times New Roman" w:hAnsi="Cambria" w:cs="Calibri"/>
                <w:color w:val="000000"/>
                <w:sz w:val="20"/>
                <w:szCs w:val="20"/>
              </w:rPr>
              <w:fldChar w:fldCharType="begin" w:fldLock="1"/>
            </w:r>
            <w:r w:rsidR="00CE5020">
              <w:rPr>
                <w:rFonts w:ascii="Cambria" w:eastAsia="Times New Roman" w:hAnsi="Cambria" w:cs="Calibri"/>
                <w:color w:val="000000"/>
                <w:sz w:val="20"/>
                <w:szCs w:val="20"/>
              </w:rPr>
              <w:instrText>ADDIN CSL_CITATION {"citationItems":[{"id":"ITEM-1","itemData":{"DOI":"10.1016/j.gca.2009.08.018","ISBN":"0016-7037","ISSN":"00167037","PMID":"26093","abstract":"Equilibrium 2H/1H fractionation factors (??eq) for various H positions in alkanes, alkenes, ketones, carboxylic acids, esters, alcohols, and ethers were calculated between 0 and 100 ??C using vibrational frequencies from ab initio QM calculations (B3LYP/6-311G**). Results were then corrected using a temperature-dependent linear calibration curve based on experimental data for H?? in ketones (Wang et al., 2009). The total uncertainty in reported ??eq values is estimated at 10-20???. The effects of functional groups were found to increase the value of ??eq for H next to electron-donating groups, e.g. {single bond}OR, {single bond}OH or {single bond}O(C{double bond, long}O)R, and to decrease the value of ??eq for H next to electron-withdrawing groups, e.g. {single bond}(C{double bond, long}O)R or {single bond}(C{double bond, long}O)OR. Smaller but significant functional group effects are also observed for H?? and sometimes H??. By summing over individual H positions, we estimate the equilibrium fractionation relative to water to be -90??? to -70??? for n-alkanes and around -100??? for pristane and phytane. The temperature dependence of these fractionations is very weak between 0 and 100 ??C. Our estimates of ??eq agree well with field data for thermally mature hydrocarbons (??2H values between -80??? and -110??? relative to water). Therefore the observed ??2H increase of individual hydrocarbons and the disappearance of the biosynthetic ??2H offset between n-alkyl and linear isoprenoid lipids during maturation of organic matter can be confidently attributed to H exchange towards an equilibrium state. Our results also indicate that many n-alkyl lipids are biosynthesized with ??2H values that are close to equilibrium with water. In these cases, constant down-core ??2H values for n-alkyl lipids cannot be reliably used to infer a lack of isotopic exchange. ?? 2009 Elsevier Ltd. All rights reserved.","author":[{"dropping-particle":"","family":"Wang","given":"Ying","non-dropping-particle":"","parse-names":false,"suffix":""},{"dropping-particle":"","family":"Sessions","given":"Alex L.","non-dropping-particle":"","parse-names":false,"suffix":""},{"dropping-particle":"","family":"Nielsen","given":"Robert J.","non-dropping-particle":"","parse-names":false,"suffix":""},{"dropping-particle":"","family":"Goddard","given":"William A.","non-dropping-particle":"","parse-names":false,"suffix":""}],"container-title":"Geochimica et Cosmochimica Acta","id":"ITEM-1","issue":"23","issued":{"date-parts":[["2009"]]},"page":"7076-7086","publisher":"Elsevier Ltd","title":"Equilibrium &lt;sup&gt;2&lt;/sup&gt;H/&lt;sup&gt;1&lt;/sup&gt;H fractionations in organic molecules: II. Linear alkanes, alkenes, ketones, carboxylic acids, esters, alcohols and ethers","type":"article-journal","volume":"73"},"uris":["http://www.mendeley.com/documents/?uuid=0dcf0e56-b8e2-411c-bfe4-ce6f2a3b2845"]}],"mendeley":{"formattedCitation":"(Wang et al., 2009)","plainTextFormattedCitation":"(Wang et al., 2009)","previouslyFormattedCitation":"(Wang et al., 2009)"},"properties":{"noteIndex":0},"schema":"https://github.com/citation-style-language/schema/raw/master/csl-citation.json"}</w:instrText>
            </w:r>
            <w:r w:rsidR="00D32846">
              <w:rPr>
                <w:rFonts w:ascii="Cambria" w:eastAsia="Times New Roman" w:hAnsi="Cambria" w:cs="Calibri"/>
                <w:color w:val="000000"/>
                <w:sz w:val="20"/>
                <w:szCs w:val="20"/>
              </w:rPr>
              <w:fldChar w:fldCharType="separate"/>
            </w:r>
            <w:r w:rsidR="00D32846" w:rsidRPr="00D32846">
              <w:rPr>
                <w:rFonts w:ascii="Cambria" w:eastAsia="Times New Roman" w:hAnsi="Cambria" w:cs="Calibri"/>
                <w:noProof/>
                <w:color w:val="000000"/>
                <w:sz w:val="20"/>
                <w:szCs w:val="20"/>
              </w:rPr>
              <w:t>(Wang et al., 2009)</w:t>
            </w:r>
            <w:r w:rsidR="00D32846">
              <w:rPr>
                <w:rFonts w:ascii="Cambria" w:eastAsia="Times New Roman" w:hAnsi="Cambria" w:cs="Calibri"/>
                <w:color w:val="000000"/>
                <w:sz w:val="20"/>
                <w:szCs w:val="20"/>
              </w:rPr>
              <w:fldChar w:fldCharType="end"/>
            </w:r>
          </w:p>
        </w:tc>
      </w:tr>
      <w:tr w:rsidR="00C44295" w:rsidRPr="00C44295" w14:paraId="634119E7" w14:textId="77777777" w:rsidTr="00D32846">
        <w:trPr>
          <w:trHeight w:val="300"/>
          <w:jc w:val="center"/>
        </w:trPr>
        <w:tc>
          <w:tcPr>
            <w:tcW w:w="1277" w:type="dxa"/>
            <w:vMerge w:val="restart"/>
            <w:tcBorders>
              <w:top w:val="nil"/>
              <w:left w:val="nil"/>
              <w:bottom w:val="single" w:sz="4" w:space="0" w:color="000000"/>
              <w:right w:val="single" w:sz="4" w:space="0" w:color="auto"/>
            </w:tcBorders>
            <w:shd w:val="clear" w:color="auto" w:fill="auto"/>
            <w:noWrap/>
            <w:vAlign w:val="center"/>
            <w:hideMark/>
          </w:tcPr>
          <w:p w14:paraId="397D7B20"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Precursor composition</w:t>
            </w:r>
          </w:p>
        </w:tc>
        <w:tc>
          <w:tcPr>
            <w:tcW w:w="1423" w:type="dxa"/>
            <w:tcBorders>
              <w:top w:val="nil"/>
              <w:left w:val="single" w:sz="4" w:space="0" w:color="auto"/>
              <w:bottom w:val="nil"/>
              <w:right w:val="single" w:sz="4" w:space="0" w:color="auto"/>
            </w:tcBorders>
            <w:shd w:val="clear" w:color="auto" w:fill="auto"/>
            <w:noWrap/>
            <w:vAlign w:val="center"/>
            <w:hideMark/>
          </w:tcPr>
          <w:p w14:paraId="1DE94E8C"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δ</w:t>
            </w:r>
            <w:r w:rsidRPr="00C44295">
              <w:rPr>
                <w:rFonts w:ascii="Cambria" w:eastAsia="Times New Roman" w:hAnsi="Cambria" w:cs="Calibri"/>
                <w:color w:val="000000"/>
                <w:sz w:val="20"/>
                <w:szCs w:val="20"/>
                <w:vertAlign w:val="superscript"/>
              </w:rPr>
              <w:t>13</w:t>
            </w:r>
            <w:r w:rsidRPr="00C44295">
              <w:rPr>
                <w:rFonts w:ascii="Cambria" w:eastAsia="Times New Roman" w:hAnsi="Cambria" w:cs="Calibri"/>
                <w:color w:val="000000"/>
                <w:sz w:val="20"/>
                <w:szCs w:val="20"/>
              </w:rPr>
              <w:t>C</w:t>
            </w:r>
            <w:r w:rsidRPr="00C44295">
              <w:rPr>
                <w:rFonts w:ascii="Cambria" w:eastAsia="Times New Roman" w:hAnsi="Cambria" w:cs="Calibri"/>
                <w:color w:val="000000"/>
                <w:sz w:val="20"/>
                <w:szCs w:val="20"/>
                <w:vertAlign w:val="superscript"/>
              </w:rPr>
              <w:t>pre</w:t>
            </w:r>
          </w:p>
        </w:tc>
        <w:tc>
          <w:tcPr>
            <w:tcW w:w="2160" w:type="dxa"/>
            <w:tcBorders>
              <w:top w:val="nil"/>
              <w:left w:val="single" w:sz="4" w:space="0" w:color="auto"/>
              <w:bottom w:val="nil"/>
              <w:right w:val="single" w:sz="4" w:space="0" w:color="auto"/>
            </w:tcBorders>
            <w:shd w:val="clear" w:color="auto" w:fill="auto"/>
            <w:noWrap/>
            <w:vAlign w:val="center"/>
            <w:hideMark/>
          </w:tcPr>
          <w:p w14:paraId="1A77151F" w14:textId="3C73752D" w:rsidR="00C44295" w:rsidRPr="00C44295" w:rsidRDefault="000F7A8C"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-27</w:t>
            </w:r>
            <w:r w:rsidR="00D32846" w:rsidRPr="00D32846">
              <w:rPr>
                <w:rFonts w:ascii="Cambria" w:eastAsia="Times New Roman" w:hAnsi="Cambria" w:cs="Calibri"/>
                <w:color w:val="000000"/>
                <w:sz w:val="20"/>
                <w:szCs w:val="20"/>
              </w:rPr>
              <w:t>‰</w:t>
            </w:r>
          </w:p>
        </w:tc>
        <w:tc>
          <w:tcPr>
            <w:tcW w:w="3330" w:type="dxa"/>
            <w:tcBorders>
              <w:top w:val="nil"/>
              <w:left w:val="single" w:sz="4" w:space="0" w:color="auto"/>
              <w:bottom w:val="nil"/>
              <w:right w:val="nil"/>
            </w:tcBorders>
            <w:shd w:val="clear" w:color="auto" w:fill="auto"/>
            <w:noWrap/>
            <w:vAlign w:val="center"/>
            <w:hideMark/>
          </w:tcPr>
          <w:p w14:paraId="65720BF1" w14:textId="470701A7" w:rsidR="00C44295" w:rsidRPr="00C44295" w:rsidRDefault="000F7A8C" w:rsidP="000F7A8C">
            <w:pPr>
              <w:spacing w:after="0" w:line="240" w:lineRule="auto"/>
              <w:jc w:val="center"/>
              <w:rPr>
                <w:rFonts w:ascii="Cambria" w:hAnsi="Cambria" w:cs="Calibri"/>
                <w:color w:val="000000"/>
                <w:sz w:val="20"/>
                <w:szCs w:val="20"/>
              </w:rPr>
            </w:pPr>
            <w:r>
              <w:rPr>
                <w:rFonts w:ascii="Cambria" w:hAnsi="Cambria" w:cs="Calibri"/>
                <w:color w:val="000000"/>
                <w:sz w:val="20"/>
                <w:szCs w:val="20"/>
              </w:rPr>
              <w:fldChar w:fldCharType="begin" w:fldLock="1"/>
            </w:r>
            <w:r w:rsidR="000E46D2">
              <w:rPr>
                <w:rFonts w:ascii="Cambria" w:hAnsi="Cambria" w:cs="Calibri"/>
                <w:color w:val="000000"/>
                <w:sz w:val="20"/>
                <w:szCs w:val="20"/>
              </w:rPr>
              <w:instrText>ADDIN CSL_CITATION {"citationItems":[{"id":"ITEM-1","itemData":{"DOI":"10.1130/G35520.1","ISSN":"19432682","abstract":"The Cenomanian to Turonian boundary transition (ca. 95-93 Ma) represents one of the most profound global perturbations in the carbon cycle of the past 140 m.y. This interval is characterized by widespread deposition of organic-rich fi ne-grained sediment marked by a globally recognized positive carbon isotope excursion (CIE) refl ecting the widespread removal of 12C-enriched organic matter in marine sediments under global anoxic greenhouse conditions. However, the exact timing and trigger of this inferred global phenomenon, termed Oceanic Anoxic Event 2 (OAE-2), is still debated, with recent studies showing diachroneity between the deposition of the organic-rich sediment and the CIE, and confl icting interpretations on detailed redox analyses in several of these inferred anoxic settings. Here we present the fi rst evidence for widespread and persistent oxygenation during OAE-2 based primarily on the distribution of redox-sensitive trace metals and biota preserved in sedimentary rocks from the Western Interior Seaway of North America. Our data indicate anoxic-euxinic conditions in the mid-to late Cenomanian, but improved bottomwater oxygenation prior to and during the CIE. Trace metal enrichments support large volumes of mafi c volcanism possibly from the High Arctic large igneous province (HALIP), which occur within the middle of the CIE indicating that the emplacement of LIPs was not the primary trigger of the Cenomanian-Turonian CIE. The apparent paradox of an oxygenated phase within OAE-2 suggests a much more complex carbon cycle during these global perturbations than previously thought. These fi ndings have important implications for greenhouse carbon cycle changes over time scales of 0.1-10 m.y. © 2014 Geological Society of America.","author":[{"dropping-particle":"","family":"Eldrett","given":"James S.","non-dropping-particle":"","parse-names":false,"suffix":""},{"dropping-particle":"","family":"Minisini","given":"Daniel","non-dropping-particle":"","parse-names":false,"suffix":""},{"dropping-particle":"","family":"Bergman","given":"Steven C.","non-dropping-particle":"","parse-names":false,"suffix":""}],"container-title":"Geology","id":"ITEM-1","issue":"7","issued":{"date-parts":[["2014","7","1"]]},"page":"567-570","publisher":"Geological Society of America","title":"Decoupling of the carbon cycle during ocean anoxic event 2","type":"article-journal","volume":"42"},"uris":["http://www.mendeley.com/documents/?uuid=4d00370e-95e8-3cf1-a939-dc8380ddb9b9","http://www.mendeley.com/documents/?uuid=7d9fb0ec-8478-45c3-845a-ccb844f5b015"]}],"mendeley":{"formattedCitation":"(Eldrett et al., 2014)","manualFormatting":"Eldrett et al. (2014)","plainTextFormattedCitation":"(Eldrett et al., 2014)","previouslyFormattedCitation":"(Eldrett et al., 2014)"},"properties":{"noteIndex":0},"schema":"https://github.com/citation-style-language/schema/raw/master/csl-citation.json"}</w:instrText>
            </w:r>
            <w:r>
              <w:rPr>
                <w:rFonts w:ascii="Cambria" w:hAnsi="Cambria" w:cs="Calibri"/>
                <w:color w:val="000000"/>
                <w:sz w:val="20"/>
                <w:szCs w:val="20"/>
              </w:rPr>
              <w:fldChar w:fldCharType="separate"/>
            </w:r>
            <w:r>
              <w:rPr>
                <w:rFonts w:ascii="Cambria" w:hAnsi="Cambria" w:cs="Calibri"/>
                <w:noProof/>
                <w:color w:val="000000"/>
                <w:sz w:val="20"/>
                <w:szCs w:val="20"/>
              </w:rPr>
              <w:t>Eldrett et al. (</w:t>
            </w:r>
            <w:r w:rsidRPr="000F7A8C">
              <w:rPr>
                <w:rFonts w:ascii="Cambria" w:hAnsi="Cambria" w:cs="Calibri"/>
                <w:noProof/>
                <w:color w:val="000000"/>
                <w:sz w:val="20"/>
                <w:szCs w:val="20"/>
              </w:rPr>
              <w:t>2014)</w:t>
            </w:r>
            <w:r>
              <w:rPr>
                <w:rFonts w:ascii="Cambria" w:hAnsi="Cambria" w:cs="Calibri"/>
                <w:color w:val="000000"/>
                <w:sz w:val="20"/>
                <w:szCs w:val="20"/>
              </w:rPr>
              <w:fldChar w:fldCharType="end"/>
            </w:r>
          </w:p>
        </w:tc>
      </w:tr>
      <w:tr w:rsidR="00C44295" w:rsidRPr="00C44295" w14:paraId="5EC1613C" w14:textId="77777777" w:rsidTr="00D32846">
        <w:trPr>
          <w:trHeight w:val="300"/>
          <w:jc w:val="center"/>
        </w:trPr>
        <w:tc>
          <w:tcPr>
            <w:tcW w:w="1277" w:type="dxa"/>
            <w:vMerge/>
            <w:tcBorders>
              <w:top w:val="nil"/>
              <w:left w:val="nil"/>
              <w:bottom w:val="single" w:sz="4" w:space="0" w:color="000000"/>
              <w:right w:val="single" w:sz="4" w:space="0" w:color="auto"/>
            </w:tcBorders>
            <w:vAlign w:val="center"/>
            <w:hideMark/>
          </w:tcPr>
          <w:p w14:paraId="538BAEB3"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30B9E591" w14:textId="77777777" w:rsidR="00C44295" w:rsidRPr="00C44295" w:rsidRDefault="00C44295" w:rsidP="000F7A8C">
            <w:pPr>
              <w:spacing w:after="0" w:line="240" w:lineRule="auto"/>
              <w:jc w:val="center"/>
              <w:rPr>
                <w:rFonts w:ascii="Cambria" w:eastAsia="Times New Roman" w:hAnsi="Cambria" w:cs="Calibri"/>
                <w:color w:val="000000"/>
                <w:sz w:val="20"/>
                <w:szCs w:val="20"/>
              </w:rPr>
            </w:pPr>
            <w:proofErr w:type="spellStart"/>
            <w:r w:rsidRPr="00C44295">
              <w:rPr>
                <w:rFonts w:ascii="Cambria" w:eastAsia="Times New Roman" w:hAnsi="Cambria" w:cs="Calibri"/>
                <w:color w:val="000000"/>
                <w:sz w:val="20"/>
                <w:szCs w:val="20"/>
              </w:rPr>
              <w:t>δD</w:t>
            </w:r>
            <w:r w:rsidRPr="00C44295">
              <w:rPr>
                <w:rFonts w:ascii="Cambria" w:eastAsia="Times New Roman" w:hAnsi="Cambria" w:cs="Calibri"/>
                <w:color w:val="000000"/>
                <w:sz w:val="20"/>
                <w:szCs w:val="20"/>
                <w:vertAlign w:val="superscript"/>
              </w:rPr>
              <w:t>pre</w:t>
            </w:r>
            <w:proofErr w:type="spellEnd"/>
          </w:p>
        </w:tc>
        <w:tc>
          <w:tcPr>
            <w:tcW w:w="2160" w:type="dxa"/>
            <w:tcBorders>
              <w:top w:val="nil"/>
              <w:left w:val="single" w:sz="4" w:space="0" w:color="auto"/>
              <w:bottom w:val="nil"/>
              <w:right w:val="single" w:sz="4" w:space="0" w:color="auto"/>
            </w:tcBorders>
            <w:shd w:val="clear" w:color="auto" w:fill="auto"/>
            <w:noWrap/>
            <w:vAlign w:val="center"/>
            <w:hideMark/>
          </w:tcPr>
          <w:p w14:paraId="66A8ABAA" w14:textId="7CF8A9FD" w:rsidR="00C44295" w:rsidRPr="00C44295" w:rsidRDefault="000F7A8C"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-100</w:t>
            </w:r>
            <w:r w:rsidR="00D32846" w:rsidRPr="00D32846">
              <w:rPr>
                <w:rFonts w:ascii="Cambria" w:eastAsia="Times New Roman" w:hAnsi="Cambria" w:cs="Calibri"/>
                <w:color w:val="000000"/>
                <w:sz w:val="20"/>
                <w:szCs w:val="20"/>
              </w:rPr>
              <w:t>‰</w:t>
            </w:r>
          </w:p>
        </w:tc>
        <w:tc>
          <w:tcPr>
            <w:tcW w:w="3330" w:type="dxa"/>
            <w:tcBorders>
              <w:top w:val="nil"/>
              <w:left w:val="single" w:sz="4" w:space="0" w:color="auto"/>
              <w:bottom w:val="nil"/>
              <w:right w:val="nil"/>
            </w:tcBorders>
            <w:shd w:val="clear" w:color="auto" w:fill="auto"/>
            <w:noWrap/>
            <w:vAlign w:val="center"/>
            <w:hideMark/>
          </w:tcPr>
          <w:p w14:paraId="6FCE773D" w14:textId="518FBC80" w:rsidR="00C44295" w:rsidRPr="00C44295" w:rsidRDefault="00D32846" w:rsidP="000F7A8C">
            <w:pPr>
              <w:spacing w:after="0" w:line="240" w:lineRule="auto"/>
              <w:jc w:val="center"/>
              <w:rPr>
                <w:rFonts w:ascii="Cambria" w:eastAsia="Times New Roman" w:hAnsi="Cambria" w:cs="Times New Roman"/>
                <w:sz w:val="20"/>
                <w:szCs w:val="20"/>
              </w:rPr>
            </w:pPr>
            <w:r>
              <w:rPr>
                <w:rFonts w:ascii="Cambria" w:eastAsia="Times New Roman" w:hAnsi="Cambria" w:cs="Times New Roman"/>
                <w:sz w:val="20"/>
                <w:szCs w:val="20"/>
              </w:rPr>
              <w:t>Assumption</w:t>
            </w:r>
          </w:p>
        </w:tc>
      </w:tr>
      <w:tr w:rsidR="00C44295" w:rsidRPr="00C44295" w14:paraId="41669CD9" w14:textId="77777777" w:rsidTr="00D32846">
        <w:trPr>
          <w:trHeight w:val="300"/>
          <w:jc w:val="center"/>
        </w:trPr>
        <w:tc>
          <w:tcPr>
            <w:tcW w:w="1277" w:type="dxa"/>
            <w:vMerge/>
            <w:tcBorders>
              <w:top w:val="nil"/>
              <w:left w:val="nil"/>
              <w:bottom w:val="single" w:sz="4" w:space="0" w:color="000000"/>
              <w:right w:val="single" w:sz="4" w:space="0" w:color="auto"/>
            </w:tcBorders>
            <w:vAlign w:val="center"/>
            <w:hideMark/>
          </w:tcPr>
          <w:p w14:paraId="3BBC2139"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2978681C" w14:textId="1FFB99BD" w:rsidR="00C44295" w:rsidRPr="00C44295" w:rsidRDefault="00C44295" w:rsidP="000F7A8C">
            <w:pPr>
              <w:spacing w:after="0" w:line="240" w:lineRule="auto"/>
              <w:jc w:val="center"/>
              <w:rPr>
                <w:rFonts w:ascii="Cambria" w:eastAsia="Times New Roman" w:hAnsi="Cambria" w:cs="Calibri"/>
                <w:color w:val="000000"/>
                <w:sz w:val="20"/>
                <w:szCs w:val="20"/>
                <w:vertAlign w:val="superscript"/>
              </w:rPr>
            </w:pPr>
            <w:r w:rsidRPr="00C44295">
              <w:rPr>
                <w:rFonts w:ascii="Cambria" w:eastAsia="Times New Roman" w:hAnsi="Cambria" w:cs="Calibri"/>
                <w:color w:val="000000"/>
                <w:sz w:val="20"/>
                <w:szCs w:val="20"/>
              </w:rPr>
              <w:t>Δ</w:t>
            </w:r>
            <w:r w:rsidRPr="00C44295">
              <w:rPr>
                <w:rFonts w:ascii="Cambria" w:eastAsia="Times New Roman" w:hAnsi="Cambria" w:cs="Calibri"/>
                <w:color w:val="000000"/>
                <w:sz w:val="20"/>
                <w:szCs w:val="20"/>
                <w:vertAlign w:val="superscript"/>
              </w:rPr>
              <w:t>13</w:t>
            </w:r>
            <w:r>
              <w:rPr>
                <w:rFonts w:ascii="Cambria" w:eastAsia="Times New Roman" w:hAnsi="Cambria" w:cs="Calibri"/>
                <w:color w:val="000000"/>
                <w:sz w:val="20"/>
                <w:szCs w:val="20"/>
              </w:rPr>
              <w:t>CH</w:t>
            </w:r>
            <w:r>
              <w:rPr>
                <w:rFonts w:ascii="Cambria" w:eastAsia="Times New Roman" w:hAnsi="Cambria" w:cs="Calibri"/>
                <w:color w:val="000000"/>
                <w:sz w:val="20"/>
                <w:szCs w:val="20"/>
                <w:vertAlign w:val="subscript"/>
              </w:rPr>
              <w:t>2</w:t>
            </w:r>
            <w:r>
              <w:rPr>
                <w:rFonts w:ascii="Cambria" w:eastAsia="Times New Roman" w:hAnsi="Cambria" w:cs="Calibri"/>
                <w:color w:val="000000"/>
                <w:sz w:val="20"/>
                <w:szCs w:val="20"/>
              </w:rPr>
              <w:t>D</w:t>
            </w:r>
            <w:r>
              <w:rPr>
                <w:rFonts w:ascii="Cambria" w:eastAsia="Times New Roman" w:hAnsi="Cambria" w:cs="Calibri"/>
                <w:color w:val="000000"/>
                <w:sz w:val="20"/>
                <w:szCs w:val="20"/>
                <w:vertAlign w:val="superscript"/>
              </w:rPr>
              <w:t>pre</w:t>
            </w:r>
          </w:p>
        </w:tc>
        <w:tc>
          <w:tcPr>
            <w:tcW w:w="2160" w:type="dxa"/>
            <w:tcBorders>
              <w:top w:val="nil"/>
              <w:left w:val="single" w:sz="4" w:space="0" w:color="auto"/>
              <w:bottom w:val="nil"/>
              <w:right w:val="single" w:sz="4" w:space="0" w:color="auto"/>
            </w:tcBorders>
            <w:shd w:val="clear" w:color="auto" w:fill="auto"/>
            <w:vAlign w:val="center"/>
          </w:tcPr>
          <w:p w14:paraId="669C8BAB" w14:textId="1390A8C6" w:rsidR="00C44295" w:rsidRPr="00D32846" w:rsidRDefault="00D32846" w:rsidP="000F7A8C">
            <w:pPr>
              <w:spacing w:after="0" w:line="240" w:lineRule="auto"/>
              <w:jc w:val="center"/>
              <w:rPr>
                <w:rFonts w:ascii="Cambria" w:hAnsi="Cambria" w:cs="Calibri"/>
                <w:color w:val="000000"/>
                <w:sz w:val="20"/>
                <w:szCs w:val="20"/>
              </w:rPr>
            </w:pPr>
            <w:r>
              <w:rPr>
                <w:rFonts w:ascii="Cambria" w:hAnsi="Cambria" w:cs="Calibri" w:hint="eastAsia"/>
                <w:color w:val="000000"/>
                <w:sz w:val="20"/>
                <w:szCs w:val="20"/>
              </w:rPr>
              <w:t>2</w:t>
            </w:r>
            <w:r w:rsidRPr="00D32846">
              <w:rPr>
                <w:rFonts w:ascii="Cambria" w:eastAsia="Times New Roman" w:hAnsi="Cambria" w:cs="Calibri"/>
                <w:color w:val="000000"/>
                <w:sz w:val="20"/>
                <w:szCs w:val="20"/>
              </w:rPr>
              <w:t>‰</w:t>
            </w:r>
          </w:p>
        </w:tc>
        <w:tc>
          <w:tcPr>
            <w:tcW w:w="3330" w:type="dxa"/>
            <w:tcBorders>
              <w:top w:val="nil"/>
              <w:left w:val="single" w:sz="4" w:space="0" w:color="auto"/>
              <w:bottom w:val="nil"/>
              <w:right w:val="nil"/>
            </w:tcBorders>
            <w:shd w:val="clear" w:color="auto" w:fill="auto"/>
            <w:vAlign w:val="center"/>
          </w:tcPr>
          <w:p w14:paraId="0A8F957D" w14:textId="2522D0AD" w:rsidR="00C44295" w:rsidRPr="00C44295" w:rsidRDefault="00D32846"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Assumption</w:t>
            </w:r>
            <w:r w:rsidR="00A14B65">
              <w:rPr>
                <w:rFonts w:ascii="Cambria" w:eastAsia="Times New Roman" w:hAnsi="Cambria" w:cs="Calibri"/>
                <w:color w:val="000000"/>
                <w:sz w:val="20"/>
                <w:szCs w:val="20"/>
              </w:rPr>
              <w:t xml:space="preserve"> (equilibrium)</w:t>
            </w:r>
          </w:p>
        </w:tc>
      </w:tr>
      <w:tr w:rsidR="00C44295" w:rsidRPr="00C44295" w14:paraId="7985A6DB" w14:textId="77777777" w:rsidTr="00D32846">
        <w:trPr>
          <w:trHeight w:val="300"/>
          <w:jc w:val="center"/>
        </w:trPr>
        <w:tc>
          <w:tcPr>
            <w:tcW w:w="1277" w:type="dxa"/>
            <w:vMerge/>
            <w:tcBorders>
              <w:top w:val="nil"/>
              <w:left w:val="nil"/>
              <w:bottom w:val="single" w:sz="4" w:space="0" w:color="000000"/>
              <w:right w:val="single" w:sz="4" w:space="0" w:color="auto"/>
            </w:tcBorders>
            <w:vAlign w:val="center"/>
            <w:hideMark/>
          </w:tcPr>
          <w:p w14:paraId="189C12C4"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52ED70EE" w14:textId="542E23F6" w:rsidR="00C44295" w:rsidRPr="00C44295" w:rsidRDefault="00C44295" w:rsidP="000F7A8C">
            <w:pPr>
              <w:spacing w:after="0" w:line="240" w:lineRule="auto"/>
              <w:jc w:val="center"/>
              <w:rPr>
                <w:rFonts w:ascii="Cambria" w:eastAsia="Times New Roman" w:hAnsi="Cambria" w:cs="Calibri"/>
                <w:color w:val="000000"/>
                <w:sz w:val="20"/>
                <w:szCs w:val="20"/>
                <w:vertAlign w:val="superscript"/>
              </w:rPr>
            </w:pPr>
            <w:r w:rsidRPr="00C44295">
              <w:rPr>
                <w:rFonts w:ascii="Cambria" w:eastAsia="Times New Roman" w:hAnsi="Cambria" w:cs="Calibri"/>
                <w:color w:val="000000"/>
                <w:sz w:val="20"/>
                <w:szCs w:val="20"/>
              </w:rPr>
              <w:t>Δ</w:t>
            </w:r>
            <w:r>
              <w:rPr>
                <w:rFonts w:ascii="Cambria" w:eastAsia="Times New Roman" w:hAnsi="Cambria" w:cs="Calibri"/>
                <w:color w:val="000000"/>
                <w:sz w:val="20"/>
                <w:szCs w:val="20"/>
                <w:vertAlign w:val="superscript"/>
              </w:rPr>
              <w:t>12</w:t>
            </w:r>
            <w:r>
              <w:rPr>
                <w:rFonts w:ascii="Cambria" w:eastAsia="Times New Roman" w:hAnsi="Cambria" w:cs="Calibri"/>
                <w:color w:val="000000"/>
                <w:sz w:val="20"/>
                <w:szCs w:val="20"/>
              </w:rPr>
              <w:t>CHD</w:t>
            </w:r>
            <w:r>
              <w:rPr>
                <w:rFonts w:ascii="Cambria" w:eastAsia="Times New Roman" w:hAnsi="Cambria" w:cs="Calibri"/>
                <w:color w:val="000000"/>
                <w:sz w:val="20"/>
                <w:szCs w:val="20"/>
                <w:vertAlign w:val="subscript"/>
              </w:rPr>
              <w:t>2</w:t>
            </w:r>
            <w:r>
              <w:rPr>
                <w:rFonts w:ascii="Cambria" w:eastAsia="Times New Roman" w:hAnsi="Cambria" w:cs="Calibri"/>
                <w:color w:val="000000"/>
                <w:sz w:val="20"/>
                <w:szCs w:val="20"/>
                <w:vertAlign w:val="superscript"/>
              </w:rPr>
              <w:t>pre</w:t>
            </w:r>
          </w:p>
        </w:tc>
        <w:tc>
          <w:tcPr>
            <w:tcW w:w="2160" w:type="dxa"/>
            <w:tcBorders>
              <w:top w:val="nil"/>
              <w:left w:val="single" w:sz="4" w:space="0" w:color="auto"/>
              <w:bottom w:val="nil"/>
              <w:right w:val="single" w:sz="4" w:space="0" w:color="auto"/>
            </w:tcBorders>
            <w:shd w:val="clear" w:color="auto" w:fill="auto"/>
            <w:vAlign w:val="center"/>
          </w:tcPr>
          <w:p w14:paraId="3688AC31" w14:textId="42DDE1F9" w:rsidR="00C44295" w:rsidRPr="00C44295" w:rsidRDefault="00D32846" w:rsidP="000F7A8C">
            <w:pPr>
              <w:spacing w:after="0" w:line="240" w:lineRule="auto"/>
              <w:jc w:val="center"/>
              <w:rPr>
                <w:rFonts w:ascii="Cambria" w:eastAsia="Times New Roman" w:hAnsi="Cambria" w:cs="Calibri"/>
                <w:color w:val="000000"/>
                <w:sz w:val="20"/>
                <w:szCs w:val="20"/>
              </w:rPr>
            </w:pPr>
            <w:r w:rsidRPr="00E46D1F">
              <w:rPr>
                <w:rFonts w:ascii="Times New Roman" w:hAnsi="Times New Roman" w:cs="Times New Roman"/>
                <w:color w:val="000000"/>
                <w:sz w:val="20"/>
                <w:szCs w:val="20"/>
              </w:rPr>
              <w:t>6</w:t>
            </w:r>
            <w:r w:rsidRPr="00D32846">
              <w:rPr>
                <w:rFonts w:ascii="Cambria" w:eastAsia="Times New Roman" w:hAnsi="Cambria" w:cs="Calibri"/>
                <w:color w:val="000000"/>
                <w:sz w:val="20"/>
                <w:szCs w:val="20"/>
              </w:rPr>
              <w:t>‰</w:t>
            </w:r>
          </w:p>
        </w:tc>
        <w:tc>
          <w:tcPr>
            <w:tcW w:w="3330" w:type="dxa"/>
            <w:tcBorders>
              <w:top w:val="nil"/>
              <w:left w:val="single" w:sz="4" w:space="0" w:color="auto"/>
              <w:bottom w:val="nil"/>
              <w:right w:val="nil"/>
            </w:tcBorders>
            <w:shd w:val="clear" w:color="auto" w:fill="auto"/>
            <w:noWrap/>
            <w:vAlign w:val="center"/>
            <w:hideMark/>
          </w:tcPr>
          <w:p w14:paraId="3442961D" w14:textId="66DF14AE" w:rsidR="00C44295" w:rsidRPr="00C44295" w:rsidRDefault="00D32846"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Assumption</w:t>
            </w:r>
            <w:r w:rsidR="00A14B65">
              <w:rPr>
                <w:rFonts w:ascii="Cambria" w:eastAsia="Times New Roman" w:hAnsi="Cambria" w:cs="Calibri"/>
                <w:color w:val="000000"/>
                <w:sz w:val="20"/>
                <w:szCs w:val="20"/>
              </w:rPr>
              <w:t xml:space="preserve"> (equilibrium)</w:t>
            </w:r>
          </w:p>
        </w:tc>
      </w:tr>
      <w:tr w:rsidR="00C44295" w:rsidRPr="00C44295" w14:paraId="00EB7F1B" w14:textId="77777777" w:rsidTr="002B54F5">
        <w:trPr>
          <w:trHeight w:val="422"/>
          <w:jc w:val="center"/>
        </w:trPr>
        <w:tc>
          <w:tcPr>
            <w:tcW w:w="1277" w:type="dxa"/>
            <w:vMerge/>
            <w:tcBorders>
              <w:top w:val="nil"/>
              <w:left w:val="nil"/>
              <w:bottom w:val="single" w:sz="4" w:space="0" w:color="000000"/>
              <w:right w:val="single" w:sz="4" w:space="0" w:color="auto"/>
            </w:tcBorders>
            <w:vAlign w:val="center"/>
            <w:hideMark/>
          </w:tcPr>
          <w:p w14:paraId="175F14F9"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1165DCE" w14:textId="71B14A8A" w:rsidR="00C44295" w:rsidRPr="00C44295" w:rsidRDefault="00C44295" w:rsidP="000F7A8C">
            <w:pPr>
              <w:spacing w:after="0" w:line="240" w:lineRule="auto"/>
              <w:jc w:val="center"/>
              <w:rPr>
                <w:rFonts w:ascii="Cambria" w:eastAsia="Times New Roman" w:hAnsi="Cambria" w:cs="Times New Roman"/>
                <w:color w:val="000000"/>
                <w:sz w:val="20"/>
                <w:szCs w:val="20"/>
              </w:rPr>
            </w:pPr>
            <w:proofErr w:type="spellStart"/>
            <w:r w:rsidRPr="00C44295">
              <w:rPr>
                <w:rFonts w:ascii="Cambria" w:eastAsia="Times New Roman" w:hAnsi="Cambria" w:cs="Calibri"/>
                <w:color w:val="000000"/>
                <w:sz w:val="20"/>
                <w:szCs w:val="20"/>
              </w:rPr>
              <w:t>δD</w:t>
            </w:r>
            <w:r w:rsidRPr="00C44295">
              <w:rPr>
                <w:rFonts w:ascii="Cambria" w:eastAsia="Times New Roman" w:hAnsi="Cambria" w:cs="Calibri"/>
                <w:color w:val="000000"/>
                <w:sz w:val="20"/>
                <w:szCs w:val="20"/>
                <w:vertAlign w:val="superscript"/>
              </w:rPr>
              <w:t>pre</w:t>
            </w:r>
            <w:proofErr w:type="spellEnd"/>
            <w:r>
              <w:rPr>
                <w:rFonts w:ascii="Cambria" w:eastAsia="Times New Roman" w:hAnsi="Cambria" w:cs="Calibri"/>
                <w:color w:val="000000"/>
                <w:sz w:val="20"/>
                <w:szCs w:val="20"/>
                <w:vertAlign w:val="superscript"/>
              </w:rPr>
              <w:t>-cap</w:t>
            </w:r>
          </w:p>
        </w:tc>
        <w:tc>
          <w:tcPr>
            <w:tcW w:w="2160" w:type="dxa"/>
            <w:tcBorders>
              <w:top w:val="nil"/>
              <w:left w:val="single" w:sz="4" w:space="0" w:color="auto"/>
              <w:bottom w:val="single" w:sz="4" w:space="0" w:color="auto"/>
              <w:right w:val="single" w:sz="4" w:space="0" w:color="auto"/>
            </w:tcBorders>
            <w:shd w:val="clear" w:color="auto" w:fill="auto"/>
            <w:vAlign w:val="center"/>
          </w:tcPr>
          <w:p w14:paraId="35B46036" w14:textId="040DC041" w:rsidR="00C44295" w:rsidRPr="00C44295" w:rsidRDefault="00D32846" w:rsidP="000F7A8C">
            <w:pPr>
              <w:spacing w:after="0" w:line="240" w:lineRule="auto"/>
              <w:jc w:val="center"/>
              <w:rPr>
                <w:rFonts w:ascii="Cambria" w:eastAsia="Times New Roman" w:hAnsi="Cambria" w:cs="Times New Roman"/>
                <w:color w:val="000000"/>
                <w:sz w:val="20"/>
                <w:szCs w:val="20"/>
              </w:rPr>
            </w:pPr>
            <w:r>
              <w:rPr>
                <w:rFonts w:ascii="Cambria" w:eastAsia="Times New Roman" w:hAnsi="Cambria" w:cs="Calibri"/>
                <w:color w:val="000000"/>
                <w:sz w:val="20"/>
                <w:szCs w:val="20"/>
              </w:rPr>
              <w:t>-100</w:t>
            </w:r>
            <w:r w:rsidRPr="00D32846">
              <w:rPr>
                <w:rFonts w:ascii="Cambria" w:eastAsia="Times New Roman" w:hAnsi="Cambria" w:cs="Calibri"/>
                <w:color w:val="000000"/>
                <w:sz w:val="20"/>
                <w:szCs w:val="20"/>
              </w:rPr>
              <w:t>‰</w:t>
            </w:r>
          </w:p>
        </w:tc>
        <w:tc>
          <w:tcPr>
            <w:tcW w:w="3330" w:type="dxa"/>
            <w:tcBorders>
              <w:top w:val="nil"/>
              <w:left w:val="single" w:sz="4" w:space="0" w:color="auto"/>
              <w:bottom w:val="single" w:sz="4" w:space="0" w:color="auto"/>
              <w:right w:val="nil"/>
            </w:tcBorders>
            <w:shd w:val="clear" w:color="auto" w:fill="auto"/>
            <w:noWrap/>
            <w:vAlign w:val="center"/>
            <w:hideMark/>
          </w:tcPr>
          <w:p w14:paraId="63DBC398" w14:textId="4CDC12FC" w:rsidR="00C44295" w:rsidRPr="00C44295" w:rsidRDefault="00D32846" w:rsidP="000F7A8C">
            <w:pPr>
              <w:spacing w:after="0" w:line="240" w:lineRule="auto"/>
              <w:jc w:val="center"/>
              <w:rPr>
                <w:rFonts w:ascii="Cambria" w:eastAsia="Times New Roman" w:hAnsi="Cambria" w:cs="Calibri"/>
                <w:color w:val="000000"/>
                <w:sz w:val="20"/>
                <w:szCs w:val="20"/>
              </w:rPr>
            </w:pPr>
            <w:r>
              <w:rPr>
                <w:rFonts w:ascii="Cambria" w:eastAsia="Times New Roman" w:hAnsi="Cambria" w:cs="Times New Roman"/>
                <w:sz w:val="20"/>
                <w:szCs w:val="20"/>
              </w:rPr>
              <w:t>Assumption</w:t>
            </w:r>
          </w:p>
        </w:tc>
      </w:tr>
      <w:tr w:rsidR="00C44295" w:rsidRPr="00C44295" w14:paraId="0A58F95F" w14:textId="77777777" w:rsidTr="00D32846">
        <w:trPr>
          <w:trHeight w:val="300"/>
          <w:jc w:val="center"/>
        </w:trPr>
        <w:tc>
          <w:tcPr>
            <w:tcW w:w="1277" w:type="dxa"/>
            <w:vMerge w:val="restart"/>
            <w:tcBorders>
              <w:top w:val="nil"/>
              <w:left w:val="nil"/>
              <w:bottom w:val="nil"/>
              <w:right w:val="single" w:sz="4" w:space="0" w:color="auto"/>
            </w:tcBorders>
            <w:shd w:val="clear" w:color="auto" w:fill="auto"/>
            <w:noWrap/>
            <w:vAlign w:val="center"/>
            <w:hideMark/>
          </w:tcPr>
          <w:p w14:paraId="6577DCF6" w14:textId="77777777" w:rsidR="00C44295" w:rsidRPr="00C44295" w:rsidRDefault="00C44295" w:rsidP="000F7A8C">
            <w:pPr>
              <w:spacing w:after="0" w:line="240" w:lineRule="auto"/>
              <w:jc w:val="center"/>
              <w:rPr>
                <w:rFonts w:ascii="Cambria" w:eastAsia="Times New Roman" w:hAnsi="Cambria" w:cs="Calibri"/>
                <w:color w:val="000000"/>
                <w:sz w:val="20"/>
                <w:szCs w:val="20"/>
              </w:rPr>
            </w:pPr>
            <w:r w:rsidRPr="00C44295">
              <w:rPr>
                <w:rFonts w:ascii="Cambria" w:eastAsia="Times New Roman" w:hAnsi="Cambria" w:cs="Calibri"/>
                <w:color w:val="000000"/>
                <w:sz w:val="20"/>
                <w:szCs w:val="20"/>
              </w:rPr>
              <w:t>Exchange kinetics</w:t>
            </w:r>
          </w:p>
        </w:tc>
        <w:tc>
          <w:tcPr>
            <w:tcW w:w="1423" w:type="dxa"/>
            <w:tcBorders>
              <w:top w:val="nil"/>
              <w:left w:val="single" w:sz="4" w:space="0" w:color="auto"/>
              <w:bottom w:val="nil"/>
              <w:right w:val="single" w:sz="4" w:space="0" w:color="auto"/>
            </w:tcBorders>
            <w:shd w:val="clear" w:color="auto" w:fill="auto"/>
            <w:noWrap/>
            <w:vAlign w:val="center"/>
            <w:hideMark/>
          </w:tcPr>
          <w:p w14:paraId="4264C560" w14:textId="41D9FEF3" w:rsidR="00C44295" w:rsidRPr="00C44295" w:rsidRDefault="00C44295"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A</w:t>
            </w:r>
          </w:p>
        </w:tc>
        <w:tc>
          <w:tcPr>
            <w:tcW w:w="2160" w:type="dxa"/>
            <w:tcBorders>
              <w:top w:val="nil"/>
              <w:left w:val="single" w:sz="4" w:space="0" w:color="auto"/>
              <w:bottom w:val="nil"/>
              <w:right w:val="single" w:sz="4" w:space="0" w:color="auto"/>
            </w:tcBorders>
            <w:shd w:val="clear" w:color="auto" w:fill="auto"/>
            <w:noWrap/>
            <w:vAlign w:val="center"/>
            <w:hideMark/>
          </w:tcPr>
          <w:p w14:paraId="2EF4CA6B" w14:textId="381F1482" w:rsidR="00C44295" w:rsidRPr="00C44295" w:rsidRDefault="00C44295" w:rsidP="000F7A8C">
            <w:pPr>
              <w:spacing w:after="0" w:line="240" w:lineRule="auto"/>
              <w:jc w:val="center"/>
              <w:rPr>
                <w:rFonts w:ascii="Cambria" w:eastAsia="Times New Roman" w:hAnsi="Cambria" w:cs="Calibri"/>
                <w:color w:val="000000"/>
                <w:sz w:val="20"/>
                <w:szCs w:val="20"/>
                <w:vertAlign w:val="superscript"/>
              </w:rPr>
            </w:pPr>
            <w:r w:rsidRPr="00C44295">
              <w:rPr>
                <w:rFonts w:ascii="Cambria" w:eastAsia="Times New Roman" w:hAnsi="Cambria" w:cs="Calibri"/>
                <w:color w:val="000000"/>
                <w:sz w:val="20"/>
                <w:szCs w:val="20"/>
              </w:rPr>
              <w:t>2.45×10</w:t>
            </w:r>
            <w:r w:rsidRPr="00C44295">
              <w:rPr>
                <w:rFonts w:ascii="Cambria" w:eastAsia="Times New Roman" w:hAnsi="Cambria" w:cs="Calibri"/>
                <w:color w:val="000000"/>
                <w:sz w:val="20"/>
                <w:szCs w:val="20"/>
                <w:vertAlign w:val="superscript"/>
              </w:rPr>
              <w:t>10</w:t>
            </w:r>
            <w:r w:rsidRPr="00C44295">
              <w:rPr>
                <w:rFonts w:ascii="Cambria" w:eastAsia="Times New Roman" w:hAnsi="Cambria" w:cs="Calibri"/>
                <w:color w:val="000000"/>
                <w:sz w:val="20"/>
                <w:szCs w:val="20"/>
              </w:rPr>
              <w:t xml:space="preserve"> s</w:t>
            </w:r>
            <w:r w:rsidRPr="00C44295">
              <w:rPr>
                <w:rFonts w:ascii="Cambria" w:eastAsia="Times New Roman" w:hAnsi="Cambria" w:cs="Calibri"/>
                <w:color w:val="000000"/>
                <w:sz w:val="20"/>
                <w:szCs w:val="20"/>
                <w:vertAlign w:val="superscript"/>
              </w:rPr>
              <w:t>-1</w:t>
            </w:r>
          </w:p>
        </w:tc>
        <w:tc>
          <w:tcPr>
            <w:tcW w:w="3330" w:type="dxa"/>
            <w:tcBorders>
              <w:top w:val="nil"/>
              <w:left w:val="single" w:sz="4" w:space="0" w:color="auto"/>
              <w:bottom w:val="nil"/>
              <w:right w:val="nil"/>
            </w:tcBorders>
            <w:shd w:val="clear" w:color="auto" w:fill="auto"/>
            <w:noWrap/>
            <w:vAlign w:val="center"/>
            <w:hideMark/>
          </w:tcPr>
          <w:p w14:paraId="00063CD9" w14:textId="7E00B4EF" w:rsidR="00090378" w:rsidRPr="00C44295" w:rsidRDefault="000B4236" w:rsidP="00090378">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Experimental results from</w:t>
            </w:r>
            <w:r w:rsidR="00C44295" w:rsidRPr="00C44295">
              <w:rPr>
                <w:rFonts w:ascii="Cambria" w:eastAsia="Times New Roman" w:hAnsi="Cambria" w:cs="Calibri"/>
                <w:color w:val="000000"/>
                <w:sz w:val="20"/>
                <w:szCs w:val="20"/>
              </w:rPr>
              <w:t xml:space="preserve"> </w:t>
            </w:r>
            <w:r w:rsidR="00C63F69">
              <w:rPr>
                <w:rFonts w:ascii="Cambria" w:eastAsia="Times New Roman" w:hAnsi="Cambria" w:cs="Calibri"/>
                <w:color w:val="000000"/>
                <w:sz w:val="20"/>
                <w:szCs w:val="20"/>
              </w:rPr>
              <w:fldChar w:fldCharType="begin" w:fldLock="1"/>
            </w:r>
            <w:r w:rsidR="00090378">
              <w:rPr>
                <w:rFonts w:ascii="Cambria" w:eastAsia="Times New Roman" w:hAnsi="Cambria" w:cs="Calibri"/>
                <w:color w:val="000000"/>
                <w:sz w:val="20"/>
                <w:szCs w:val="20"/>
              </w:rPr>
              <w:instrText>ADDIN CSL_CITATION {"citationItems":[{"id":"ITEM-1","itemData":{"author":[{"dropping-particle":"","family":"Koepp","given":"M.","non-dropping-particle":"","parse-names":false,"suffix":""}],"container-title":"Short Papers of the Fourth International Conference. Geochronology. Cosmochronology. Isotope Geology, 1978","id":"ITEM-1","issued":{"date-parts":[["1978"]]},"page":"221-222","publisher":"U.S. Geological Survey","title":"D/H isotope exchange reaction between petroleum and water : A contributory determinant for D/H-isotope ratios in crude oil?","type":"article-journal"},"uris":["http://www.mendeley.com/documents/?uuid=0eb5392b-8736-4c4f-b5ce-d1ae5d0ee153"]}],"mendeley":{"formattedCitation":"(Koepp, 1978)","manualFormatting":"Koepp (1978)","plainTextFormattedCitation":"(Koepp, 1978)","previouslyFormattedCitation":"(Koepp, 1978)"},"properties":{"noteIndex":0},"schema":"https://github.com/citation-style-language/schema/raw/master/csl-citation.json"}</w:instrText>
            </w:r>
            <w:r w:rsidR="00C63F69">
              <w:rPr>
                <w:rFonts w:ascii="Cambria" w:eastAsia="Times New Roman" w:hAnsi="Cambria" w:cs="Calibri"/>
                <w:color w:val="000000"/>
                <w:sz w:val="20"/>
                <w:szCs w:val="20"/>
              </w:rPr>
              <w:fldChar w:fldCharType="separate"/>
            </w:r>
            <w:r w:rsidR="00C63F69" w:rsidRPr="00C63F69">
              <w:rPr>
                <w:rFonts w:ascii="Cambria" w:eastAsia="Times New Roman" w:hAnsi="Cambria" w:cs="Calibri"/>
                <w:noProof/>
                <w:color w:val="000000"/>
                <w:sz w:val="20"/>
                <w:szCs w:val="20"/>
              </w:rPr>
              <w:t xml:space="preserve">Koepp </w:t>
            </w:r>
            <w:r w:rsidR="002B5D2C">
              <w:rPr>
                <w:rFonts w:ascii="Cambria" w:eastAsia="Times New Roman" w:hAnsi="Cambria" w:cs="Calibri"/>
                <w:noProof/>
                <w:color w:val="000000"/>
                <w:sz w:val="20"/>
                <w:szCs w:val="20"/>
              </w:rPr>
              <w:t>(</w:t>
            </w:r>
            <w:r w:rsidR="00C63F69" w:rsidRPr="00C63F69">
              <w:rPr>
                <w:rFonts w:ascii="Cambria" w:eastAsia="Times New Roman" w:hAnsi="Cambria" w:cs="Calibri"/>
                <w:noProof/>
                <w:color w:val="000000"/>
                <w:sz w:val="20"/>
                <w:szCs w:val="20"/>
              </w:rPr>
              <w:t>1978)</w:t>
            </w:r>
            <w:r w:rsidR="00C63F69">
              <w:rPr>
                <w:rFonts w:ascii="Cambria" w:eastAsia="Times New Roman" w:hAnsi="Cambria" w:cs="Calibri"/>
                <w:color w:val="000000"/>
                <w:sz w:val="20"/>
                <w:szCs w:val="20"/>
              </w:rPr>
              <w:fldChar w:fldCharType="end"/>
            </w:r>
          </w:p>
        </w:tc>
      </w:tr>
      <w:tr w:rsidR="00C44295" w:rsidRPr="00C44295" w14:paraId="7C62E6E2" w14:textId="77777777" w:rsidTr="00977F35">
        <w:trPr>
          <w:trHeight w:val="720"/>
          <w:jc w:val="center"/>
        </w:trPr>
        <w:tc>
          <w:tcPr>
            <w:tcW w:w="1277" w:type="dxa"/>
            <w:vMerge/>
            <w:tcBorders>
              <w:top w:val="nil"/>
              <w:left w:val="nil"/>
              <w:bottom w:val="nil"/>
              <w:right w:val="single" w:sz="4" w:space="0" w:color="auto"/>
            </w:tcBorders>
            <w:vAlign w:val="center"/>
            <w:hideMark/>
          </w:tcPr>
          <w:p w14:paraId="12636F42" w14:textId="77777777" w:rsidR="00C44295" w:rsidRPr="00C44295" w:rsidRDefault="00C44295" w:rsidP="000F7A8C">
            <w:pPr>
              <w:spacing w:after="0" w:line="240" w:lineRule="auto"/>
              <w:jc w:val="center"/>
              <w:rPr>
                <w:rFonts w:ascii="Cambria" w:eastAsia="Times New Roman" w:hAnsi="Cambria" w:cs="Calibri"/>
                <w:color w:val="000000"/>
                <w:sz w:val="20"/>
                <w:szCs w:val="20"/>
              </w:rPr>
            </w:pPr>
          </w:p>
        </w:tc>
        <w:tc>
          <w:tcPr>
            <w:tcW w:w="1423" w:type="dxa"/>
            <w:tcBorders>
              <w:top w:val="nil"/>
              <w:left w:val="single" w:sz="4" w:space="0" w:color="auto"/>
              <w:bottom w:val="nil"/>
              <w:right w:val="single" w:sz="4" w:space="0" w:color="auto"/>
            </w:tcBorders>
            <w:shd w:val="clear" w:color="auto" w:fill="auto"/>
            <w:noWrap/>
            <w:vAlign w:val="center"/>
            <w:hideMark/>
          </w:tcPr>
          <w:p w14:paraId="0BAFEB86" w14:textId="631691E8" w:rsidR="00C44295" w:rsidRPr="00C44295" w:rsidRDefault="00C44295" w:rsidP="000F7A8C">
            <w:pPr>
              <w:spacing w:after="0" w:line="240" w:lineRule="auto"/>
              <w:jc w:val="center"/>
              <w:rPr>
                <w:rFonts w:ascii="Cambria" w:eastAsia="Times New Roman" w:hAnsi="Cambria" w:cs="Calibri"/>
                <w:color w:val="000000"/>
                <w:sz w:val="20"/>
                <w:szCs w:val="20"/>
              </w:rPr>
            </w:pPr>
            <w:proofErr w:type="spellStart"/>
            <w:r w:rsidRPr="00C44295">
              <w:rPr>
                <w:rFonts w:ascii="Cambria" w:eastAsia="Times New Roman" w:hAnsi="Cambria" w:cs="Calibri"/>
                <w:color w:val="000000"/>
                <w:sz w:val="20"/>
                <w:szCs w:val="20"/>
              </w:rPr>
              <w:t>Ea</w:t>
            </w:r>
            <w:proofErr w:type="spellEnd"/>
          </w:p>
        </w:tc>
        <w:tc>
          <w:tcPr>
            <w:tcW w:w="2160" w:type="dxa"/>
            <w:tcBorders>
              <w:top w:val="nil"/>
              <w:left w:val="single" w:sz="4" w:space="0" w:color="auto"/>
              <w:bottom w:val="nil"/>
              <w:right w:val="single" w:sz="4" w:space="0" w:color="auto"/>
            </w:tcBorders>
            <w:shd w:val="clear" w:color="auto" w:fill="auto"/>
            <w:noWrap/>
            <w:vAlign w:val="center"/>
            <w:hideMark/>
          </w:tcPr>
          <w:p w14:paraId="76EB2BF7" w14:textId="5FEEDCDA" w:rsidR="00C44295" w:rsidRPr="00C44295" w:rsidRDefault="00066866"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 xml:space="preserve">200 </w:t>
            </w:r>
            <w:r w:rsidR="00C44295" w:rsidRPr="00C44295">
              <w:rPr>
                <w:rFonts w:ascii="Cambria" w:eastAsia="Times New Roman" w:hAnsi="Cambria" w:cs="Calibri"/>
                <w:color w:val="000000"/>
                <w:sz w:val="20"/>
                <w:szCs w:val="20"/>
              </w:rPr>
              <w:t>kJ/mol</w:t>
            </w:r>
          </w:p>
        </w:tc>
        <w:tc>
          <w:tcPr>
            <w:tcW w:w="3330" w:type="dxa"/>
            <w:tcBorders>
              <w:top w:val="nil"/>
              <w:left w:val="single" w:sz="4" w:space="0" w:color="auto"/>
              <w:bottom w:val="nil"/>
              <w:right w:val="nil"/>
            </w:tcBorders>
            <w:shd w:val="clear" w:color="auto" w:fill="auto"/>
            <w:noWrap/>
            <w:vAlign w:val="center"/>
            <w:hideMark/>
          </w:tcPr>
          <w:p w14:paraId="3702AAE5" w14:textId="7D1A515E" w:rsidR="00C44295" w:rsidRPr="00C44295" w:rsidRDefault="000B4236" w:rsidP="000F7A8C">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Experimental results from</w:t>
            </w:r>
            <w:r w:rsidR="00C44295" w:rsidRPr="00C44295">
              <w:rPr>
                <w:rFonts w:ascii="Cambria" w:eastAsia="Times New Roman" w:hAnsi="Cambria" w:cs="Calibri"/>
                <w:color w:val="000000"/>
                <w:sz w:val="20"/>
                <w:szCs w:val="20"/>
              </w:rPr>
              <w:t xml:space="preserve"> </w:t>
            </w:r>
            <w:r w:rsidR="00090378">
              <w:rPr>
                <w:rFonts w:ascii="Cambria" w:eastAsia="Times New Roman" w:hAnsi="Cambria" w:cs="Calibri"/>
                <w:color w:val="000000"/>
                <w:sz w:val="20"/>
                <w:szCs w:val="20"/>
              </w:rPr>
              <w:fldChar w:fldCharType="begin" w:fldLock="1"/>
            </w:r>
            <w:r w:rsidR="00090378">
              <w:rPr>
                <w:rFonts w:ascii="Cambria" w:eastAsia="Times New Roman" w:hAnsi="Cambria" w:cs="Calibri"/>
                <w:color w:val="000000"/>
                <w:sz w:val="20"/>
                <w:szCs w:val="20"/>
              </w:rPr>
              <w:instrText>ADDIN CSL_CITATION {"citationItems":[{"id":"ITEM-1","itemData":{"author":[{"dropping-particle":"","family":"Koepp","given":"M.","non-dropping-particle":"","parse-names":false,"suffix":""}],"container-title":"Short Papers of the Fourth International Conference. Geochronology. Cosmochronology. Isotope Geology, 1978","id":"ITEM-1","issued":{"date-parts":[["1978"]]},"page":"221-222","publisher":"U.S. Geological Survey","title":"D/H isotope exchange reaction between petroleum and water : A contributory determinant for D/H-isotope ratios in crude oil?","type":"article-journal"},"uris":["http://www.mendeley.com/documents/?uuid=0eb5392b-8736-4c4f-b5ce-d1ae5d0ee153"]}],"mendeley":{"formattedCitation":"(Koepp, 1978)","manualFormatting":"Koepp (1978)","plainTextFormattedCitation":"(Koepp, 1978)"},"properties":{"noteIndex":0},"schema":"https://github.com/citation-style-language/schema/raw/master/csl-citation.json"}</w:instrText>
            </w:r>
            <w:r w:rsidR="00090378">
              <w:rPr>
                <w:rFonts w:ascii="Cambria" w:eastAsia="Times New Roman" w:hAnsi="Cambria" w:cs="Calibri"/>
                <w:color w:val="000000"/>
                <w:sz w:val="20"/>
                <w:szCs w:val="20"/>
              </w:rPr>
              <w:fldChar w:fldCharType="separate"/>
            </w:r>
            <w:r w:rsidR="00090378" w:rsidRPr="00090378">
              <w:rPr>
                <w:rFonts w:ascii="Cambria" w:eastAsia="Times New Roman" w:hAnsi="Cambria" w:cs="Calibri"/>
                <w:noProof/>
                <w:color w:val="000000"/>
                <w:sz w:val="20"/>
                <w:szCs w:val="20"/>
              </w:rPr>
              <w:t xml:space="preserve">Koepp </w:t>
            </w:r>
            <w:r w:rsidR="00090378">
              <w:rPr>
                <w:rFonts w:ascii="Cambria" w:eastAsia="Times New Roman" w:hAnsi="Cambria" w:cs="Calibri"/>
                <w:noProof/>
                <w:color w:val="000000"/>
                <w:sz w:val="20"/>
                <w:szCs w:val="20"/>
              </w:rPr>
              <w:t>(</w:t>
            </w:r>
            <w:r w:rsidR="00090378" w:rsidRPr="00090378">
              <w:rPr>
                <w:rFonts w:ascii="Cambria" w:eastAsia="Times New Roman" w:hAnsi="Cambria" w:cs="Calibri"/>
                <w:noProof/>
                <w:color w:val="000000"/>
                <w:sz w:val="20"/>
                <w:szCs w:val="20"/>
              </w:rPr>
              <w:t>1978)</w:t>
            </w:r>
            <w:r w:rsidR="00090378">
              <w:rPr>
                <w:rFonts w:ascii="Cambria" w:eastAsia="Times New Roman" w:hAnsi="Cambria" w:cs="Calibri"/>
                <w:color w:val="000000"/>
                <w:sz w:val="20"/>
                <w:szCs w:val="20"/>
              </w:rPr>
              <w:fldChar w:fldCharType="end"/>
            </w:r>
            <w:r w:rsidR="000F7A8C">
              <w:rPr>
                <w:rFonts w:ascii="Cambria" w:eastAsia="Times New Roman" w:hAnsi="Cambria" w:cs="Calibri"/>
                <w:color w:val="000000"/>
                <w:sz w:val="20"/>
                <w:szCs w:val="20"/>
              </w:rPr>
              <w:t>; Adjusted for catalysis</w:t>
            </w:r>
          </w:p>
        </w:tc>
      </w:tr>
    </w:tbl>
    <w:p w14:paraId="2CFF22AC" w14:textId="2A3E291E" w:rsidR="00A8447F" w:rsidRDefault="00A8447F" w:rsidP="00A8447F">
      <w:pPr>
        <w:pStyle w:val="ListParagraph"/>
      </w:pPr>
    </w:p>
    <w:p w14:paraId="2DBC3AAB" w14:textId="0E67D9DF" w:rsidR="00D32846" w:rsidRDefault="006A4AD3" w:rsidP="00A8447F">
      <w:pPr>
        <w:pStyle w:val="ListParagraph"/>
        <w:rPr>
          <w:rFonts w:ascii="Cambria" w:eastAsia="Times New Roman" w:hAnsi="Cambria" w:cs="Times New Roman"/>
          <w:sz w:val="20"/>
          <w:szCs w:val="20"/>
        </w:rPr>
      </w:pPr>
      <w:r>
        <w:rPr>
          <w:rFonts w:ascii="Cambria" w:eastAsia="Times New Roman" w:hAnsi="Cambria" w:cs="Times New Roman"/>
          <w:sz w:val="20"/>
          <w:szCs w:val="20"/>
        </w:rPr>
        <w:t>#</w:t>
      </w:r>
      <w:r w:rsidRPr="006A4AD3">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γ</w:t>
      </w:r>
      <w:r w:rsidRPr="00C44295">
        <w:rPr>
          <w:rFonts w:ascii="Cambria" w:eastAsia="Times New Roman" w:hAnsi="Cambria" w:cs="Calibri"/>
          <w:color w:val="000000"/>
          <w:sz w:val="20"/>
          <w:szCs w:val="20"/>
          <w:vertAlign w:val="superscript"/>
        </w:rPr>
        <w:t>13</w:t>
      </w:r>
      <w:r w:rsidRPr="00C44295">
        <w:rPr>
          <w:rFonts w:ascii="Cambria" w:eastAsia="Times New Roman" w:hAnsi="Cambria" w:cs="Calibri"/>
          <w:color w:val="000000"/>
          <w:sz w:val="20"/>
          <w:szCs w:val="20"/>
        </w:rPr>
        <w:t>CH</w:t>
      </w:r>
      <w:r w:rsidRPr="00C44295">
        <w:rPr>
          <w:rFonts w:ascii="Cambria" w:eastAsia="Times New Roman" w:hAnsi="Cambria" w:cs="Calibri"/>
          <w:color w:val="000000"/>
          <w:sz w:val="20"/>
          <w:szCs w:val="20"/>
          <w:vertAlign w:val="subscript"/>
        </w:rPr>
        <w:t>2</w:t>
      </w:r>
      <w:r w:rsidRPr="00C44295">
        <w:rPr>
          <w:rFonts w:ascii="Cambria" w:eastAsia="Times New Roman" w:hAnsi="Cambria" w:cs="Calibri"/>
          <w:color w:val="000000"/>
          <w:sz w:val="20"/>
          <w:szCs w:val="20"/>
        </w:rPr>
        <w:t>D</w:t>
      </w:r>
      <w:r>
        <w:rPr>
          <w:rFonts w:ascii="Cambria" w:eastAsia="Times New Roman" w:hAnsi="Cambria" w:cs="Calibri"/>
          <w:color w:val="000000"/>
          <w:sz w:val="20"/>
          <w:szCs w:val="20"/>
        </w:rPr>
        <w:t xml:space="preserve"> and γ</w:t>
      </w:r>
      <w:r w:rsidRPr="00C44295">
        <w:rPr>
          <w:rFonts w:ascii="Cambria" w:eastAsia="Times New Roman" w:hAnsi="Cambria" w:cs="Calibri"/>
          <w:color w:val="000000"/>
          <w:sz w:val="20"/>
          <w:szCs w:val="20"/>
          <w:vertAlign w:val="superscript"/>
        </w:rPr>
        <w:t>1</w:t>
      </w:r>
      <w:r>
        <w:rPr>
          <w:rFonts w:ascii="Cambria" w:eastAsia="Times New Roman" w:hAnsi="Cambria" w:cs="Calibri"/>
          <w:color w:val="000000"/>
          <w:sz w:val="20"/>
          <w:szCs w:val="20"/>
          <w:vertAlign w:val="superscript"/>
        </w:rPr>
        <w:t>2</w:t>
      </w:r>
      <w:r w:rsidRPr="00C44295">
        <w:rPr>
          <w:rFonts w:ascii="Cambria" w:eastAsia="Times New Roman" w:hAnsi="Cambria" w:cs="Calibri"/>
          <w:color w:val="000000"/>
          <w:sz w:val="20"/>
          <w:szCs w:val="20"/>
        </w:rPr>
        <w:t>CHD</w:t>
      </w:r>
      <w:r>
        <w:rPr>
          <w:rFonts w:ascii="Cambria" w:eastAsia="Times New Roman" w:hAnsi="Cambria" w:cs="Calibri"/>
          <w:color w:val="000000"/>
          <w:sz w:val="20"/>
          <w:szCs w:val="20"/>
          <w:vertAlign w:val="subscript"/>
        </w:rPr>
        <w:t>2</w:t>
      </w:r>
      <w:r w:rsidR="00BC07A9">
        <w:rPr>
          <w:rFonts w:ascii="Cambria" w:eastAsia="Times New Roman" w:hAnsi="Cambria" w:cs="Calibri"/>
          <w:color w:val="000000"/>
          <w:sz w:val="20"/>
          <w:szCs w:val="20"/>
          <w:vertAlign w:val="subscript"/>
        </w:rPr>
        <w:t xml:space="preserve"> </w:t>
      </w:r>
      <w:r w:rsidR="00BC07A9">
        <w:rPr>
          <w:rFonts w:ascii="Cambria" w:eastAsia="Times New Roman" w:hAnsi="Cambria" w:cs="Calibri"/>
          <w:color w:val="000000"/>
          <w:sz w:val="20"/>
          <w:szCs w:val="20"/>
        </w:rPr>
        <w:t>represent additional KIE resulted from clumped isotope effect (a.k.a. clumped isotope KIE)</w:t>
      </w:r>
      <w:r w:rsidR="009665FC">
        <w:rPr>
          <w:rFonts w:ascii="Cambria" w:eastAsia="Times New Roman" w:hAnsi="Cambria" w:cs="Calibri"/>
          <w:color w:val="000000"/>
          <w:sz w:val="20"/>
          <w:szCs w:val="20"/>
        </w:rPr>
        <w:t xml:space="preserve">. </w:t>
      </w:r>
      <w:r w:rsidR="00DF1CC3">
        <w:rPr>
          <w:rFonts w:ascii="Cambria" w:eastAsia="Times New Roman" w:hAnsi="Cambria" w:cs="Calibri"/>
          <w:color w:val="000000"/>
          <w:sz w:val="20"/>
          <w:szCs w:val="20"/>
        </w:rPr>
        <w:t xml:space="preserve">We </w:t>
      </w:r>
      <w:r w:rsidR="00892C64">
        <w:rPr>
          <w:rFonts w:ascii="Cambria" w:eastAsia="Times New Roman" w:hAnsi="Cambria" w:cs="Calibri"/>
          <w:color w:val="000000"/>
          <w:sz w:val="20"/>
          <w:szCs w:val="20"/>
        </w:rPr>
        <w:t xml:space="preserve">ran </w:t>
      </w:r>
      <w:r w:rsidR="00F262E6">
        <w:rPr>
          <w:rFonts w:ascii="Cambria" w:eastAsia="Times New Roman" w:hAnsi="Cambria" w:cs="Calibri"/>
          <w:color w:val="000000"/>
          <w:sz w:val="20"/>
          <w:szCs w:val="20"/>
        </w:rPr>
        <w:t xml:space="preserve">the model </w:t>
      </w:r>
      <w:r w:rsidR="00892C64">
        <w:rPr>
          <w:rFonts w:ascii="Cambria" w:eastAsia="Times New Roman" w:hAnsi="Cambria" w:cs="Calibri"/>
          <w:color w:val="000000"/>
          <w:sz w:val="20"/>
          <w:szCs w:val="20"/>
        </w:rPr>
        <w:t>with</w:t>
      </w:r>
      <w:r w:rsidR="00DF1CC3">
        <w:rPr>
          <w:rFonts w:ascii="Cambria" w:eastAsia="Times New Roman" w:hAnsi="Cambria" w:cs="Calibri"/>
          <w:color w:val="000000"/>
          <w:sz w:val="20"/>
          <w:szCs w:val="20"/>
        </w:rPr>
        <w:t xml:space="preserve"> </w:t>
      </w:r>
      <w:r w:rsidR="00AA56EB">
        <w:rPr>
          <w:rFonts w:ascii="Cambria" w:eastAsia="Times New Roman" w:hAnsi="Cambria" w:cs="Calibri"/>
          <w:color w:val="000000"/>
          <w:sz w:val="20"/>
          <w:szCs w:val="20"/>
        </w:rPr>
        <w:t xml:space="preserve">combinations of a few </w:t>
      </w:r>
      <w:r w:rsidR="00133497">
        <w:rPr>
          <w:rFonts w:ascii="Cambria" w:eastAsia="Times New Roman" w:hAnsi="Cambria" w:cs="Calibri"/>
          <w:color w:val="000000"/>
          <w:sz w:val="20"/>
          <w:szCs w:val="20"/>
        </w:rPr>
        <w:t>extreme</w:t>
      </w:r>
      <w:r w:rsidR="00AA56EB">
        <w:rPr>
          <w:rFonts w:ascii="Cambria" w:eastAsia="Times New Roman" w:hAnsi="Cambria" w:cs="Calibri"/>
          <w:color w:val="000000"/>
          <w:sz w:val="20"/>
          <w:szCs w:val="20"/>
        </w:rPr>
        <w:t xml:space="preserve"> values</w:t>
      </w:r>
      <w:r w:rsidR="007E1EF8">
        <w:rPr>
          <w:rFonts w:ascii="Cambria" w:eastAsia="Times New Roman" w:hAnsi="Cambria" w:cs="Calibri"/>
          <w:color w:val="000000"/>
          <w:sz w:val="20"/>
          <w:szCs w:val="20"/>
        </w:rPr>
        <w:t xml:space="preserve"> in the figure below, indicated by numbers in the parenthesis, with the order of (γ</w:t>
      </w:r>
      <w:r w:rsidR="007E1EF8" w:rsidRPr="00C44295">
        <w:rPr>
          <w:rFonts w:ascii="Cambria" w:eastAsia="Times New Roman" w:hAnsi="Cambria" w:cs="Calibri"/>
          <w:color w:val="000000"/>
          <w:sz w:val="20"/>
          <w:szCs w:val="20"/>
          <w:vertAlign w:val="superscript"/>
        </w:rPr>
        <w:t>13</w:t>
      </w:r>
      <w:r w:rsidR="007E1EF8" w:rsidRPr="00C44295">
        <w:rPr>
          <w:rFonts w:ascii="Cambria" w:eastAsia="Times New Roman" w:hAnsi="Cambria" w:cs="Calibri"/>
          <w:color w:val="000000"/>
          <w:sz w:val="20"/>
          <w:szCs w:val="20"/>
        </w:rPr>
        <w:t>CH</w:t>
      </w:r>
      <w:r w:rsidR="007E1EF8" w:rsidRPr="00C44295">
        <w:rPr>
          <w:rFonts w:ascii="Cambria" w:eastAsia="Times New Roman" w:hAnsi="Cambria" w:cs="Calibri"/>
          <w:color w:val="000000"/>
          <w:sz w:val="20"/>
          <w:szCs w:val="20"/>
          <w:vertAlign w:val="subscript"/>
        </w:rPr>
        <w:t>2</w:t>
      </w:r>
      <w:r w:rsidR="007E1EF8" w:rsidRPr="00C44295">
        <w:rPr>
          <w:rFonts w:ascii="Cambria" w:eastAsia="Times New Roman" w:hAnsi="Cambria" w:cs="Calibri"/>
          <w:color w:val="000000"/>
          <w:sz w:val="20"/>
          <w:szCs w:val="20"/>
        </w:rPr>
        <w:t>D</w:t>
      </w:r>
      <w:r w:rsidR="007E1EF8">
        <w:rPr>
          <w:rFonts w:ascii="Cambria" w:eastAsia="Times New Roman" w:hAnsi="Cambria" w:cs="Calibri"/>
          <w:color w:val="000000"/>
          <w:sz w:val="20"/>
          <w:szCs w:val="20"/>
        </w:rPr>
        <w:t>, γ</w:t>
      </w:r>
      <w:r w:rsidR="007E1EF8" w:rsidRPr="00C44295">
        <w:rPr>
          <w:rFonts w:ascii="Cambria" w:eastAsia="Times New Roman" w:hAnsi="Cambria" w:cs="Calibri"/>
          <w:color w:val="000000"/>
          <w:sz w:val="20"/>
          <w:szCs w:val="20"/>
          <w:vertAlign w:val="superscript"/>
        </w:rPr>
        <w:t>1</w:t>
      </w:r>
      <w:r w:rsidR="007E1EF8">
        <w:rPr>
          <w:rFonts w:ascii="Cambria" w:eastAsia="Times New Roman" w:hAnsi="Cambria" w:cs="Calibri"/>
          <w:color w:val="000000"/>
          <w:sz w:val="20"/>
          <w:szCs w:val="20"/>
          <w:vertAlign w:val="superscript"/>
        </w:rPr>
        <w:t>2</w:t>
      </w:r>
      <w:r w:rsidR="007E1EF8" w:rsidRPr="00C44295">
        <w:rPr>
          <w:rFonts w:ascii="Cambria" w:eastAsia="Times New Roman" w:hAnsi="Cambria" w:cs="Calibri"/>
          <w:color w:val="000000"/>
          <w:sz w:val="20"/>
          <w:szCs w:val="20"/>
        </w:rPr>
        <w:t>CHD</w:t>
      </w:r>
      <w:r w:rsidR="007E1EF8">
        <w:rPr>
          <w:rFonts w:ascii="Cambria" w:eastAsia="Times New Roman" w:hAnsi="Cambria" w:cs="Calibri"/>
          <w:color w:val="000000"/>
          <w:sz w:val="20"/>
          <w:szCs w:val="20"/>
          <w:vertAlign w:val="subscript"/>
        </w:rPr>
        <w:t>2</w:t>
      </w:r>
      <w:r w:rsidR="007E1EF8">
        <w:rPr>
          <w:rFonts w:ascii="Cambria" w:eastAsia="Times New Roman" w:hAnsi="Cambria" w:cs="Calibri"/>
          <w:color w:val="000000"/>
          <w:sz w:val="20"/>
          <w:szCs w:val="20"/>
        </w:rPr>
        <w:t>).</w:t>
      </w:r>
      <w:r w:rsidR="00133497">
        <w:rPr>
          <w:rFonts w:ascii="Cambria" w:eastAsia="Times New Roman" w:hAnsi="Cambria" w:cs="Calibri"/>
          <w:color w:val="000000"/>
          <w:sz w:val="20"/>
          <w:szCs w:val="20"/>
        </w:rPr>
        <w:t xml:space="preserve"> </w:t>
      </w:r>
      <w:r w:rsidR="00F262E6">
        <w:rPr>
          <w:rFonts w:ascii="Cambria" w:eastAsia="Times New Roman" w:hAnsi="Cambria" w:cs="Calibri"/>
          <w:color w:val="000000"/>
          <w:sz w:val="20"/>
          <w:szCs w:val="20"/>
        </w:rPr>
        <w:t>We</w:t>
      </w:r>
      <w:r w:rsidR="00AA56EB">
        <w:rPr>
          <w:rFonts w:ascii="Cambria" w:eastAsia="Times New Roman" w:hAnsi="Cambria" w:cs="Calibri"/>
          <w:color w:val="000000"/>
          <w:sz w:val="20"/>
          <w:szCs w:val="20"/>
        </w:rPr>
        <w:t xml:space="preserve"> found that results are generally insensitive to </w:t>
      </w:r>
      <w:r w:rsidR="00E37C32">
        <w:rPr>
          <w:rFonts w:ascii="Cambria" w:eastAsia="Times New Roman" w:hAnsi="Cambria" w:cs="Calibri"/>
          <w:color w:val="000000"/>
          <w:sz w:val="20"/>
          <w:szCs w:val="20"/>
        </w:rPr>
        <w:t>changes in γ</w:t>
      </w:r>
      <w:r w:rsidR="00E37C32" w:rsidRPr="00C44295">
        <w:rPr>
          <w:rFonts w:ascii="Cambria" w:eastAsia="Times New Roman" w:hAnsi="Cambria" w:cs="Calibri"/>
          <w:color w:val="000000"/>
          <w:sz w:val="20"/>
          <w:szCs w:val="20"/>
          <w:vertAlign w:val="superscript"/>
        </w:rPr>
        <w:t>13</w:t>
      </w:r>
      <w:r w:rsidR="00E37C32" w:rsidRPr="00C44295">
        <w:rPr>
          <w:rFonts w:ascii="Cambria" w:eastAsia="Times New Roman" w:hAnsi="Cambria" w:cs="Calibri"/>
          <w:color w:val="000000"/>
          <w:sz w:val="20"/>
          <w:szCs w:val="20"/>
        </w:rPr>
        <w:t>CH</w:t>
      </w:r>
      <w:r w:rsidR="00E37C32" w:rsidRPr="00C44295">
        <w:rPr>
          <w:rFonts w:ascii="Cambria" w:eastAsia="Times New Roman" w:hAnsi="Cambria" w:cs="Calibri"/>
          <w:color w:val="000000"/>
          <w:sz w:val="20"/>
          <w:szCs w:val="20"/>
          <w:vertAlign w:val="subscript"/>
        </w:rPr>
        <w:t>2</w:t>
      </w:r>
      <w:r w:rsidR="00E37C32" w:rsidRPr="00C44295">
        <w:rPr>
          <w:rFonts w:ascii="Cambria" w:eastAsia="Times New Roman" w:hAnsi="Cambria" w:cs="Calibri"/>
          <w:color w:val="000000"/>
          <w:sz w:val="20"/>
          <w:szCs w:val="20"/>
        </w:rPr>
        <w:t>D</w:t>
      </w:r>
      <w:r w:rsidR="00E37C32">
        <w:rPr>
          <w:rFonts w:ascii="Cambria" w:eastAsia="Times New Roman" w:hAnsi="Cambria" w:cs="Calibri"/>
          <w:color w:val="000000"/>
          <w:sz w:val="20"/>
          <w:szCs w:val="20"/>
        </w:rPr>
        <w:t xml:space="preserve"> and γ</w:t>
      </w:r>
      <w:r w:rsidR="00E37C32" w:rsidRPr="00C44295">
        <w:rPr>
          <w:rFonts w:ascii="Cambria" w:eastAsia="Times New Roman" w:hAnsi="Cambria" w:cs="Calibri"/>
          <w:color w:val="000000"/>
          <w:sz w:val="20"/>
          <w:szCs w:val="20"/>
          <w:vertAlign w:val="superscript"/>
        </w:rPr>
        <w:t>1</w:t>
      </w:r>
      <w:r w:rsidR="00E37C32">
        <w:rPr>
          <w:rFonts w:ascii="Cambria" w:eastAsia="Times New Roman" w:hAnsi="Cambria" w:cs="Calibri"/>
          <w:color w:val="000000"/>
          <w:sz w:val="20"/>
          <w:szCs w:val="20"/>
          <w:vertAlign w:val="superscript"/>
        </w:rPr>
        <w:t>2</w:t>
      </w:r>
      <w:r w:rsidR="00E37C32" w:rsidRPr="00C44295">
        <w:rPr>
          <w:rFonts w:ascii="Cambria" w:eastAsia="Times New Roman" w:hAnsi="Cambria" w:cs="Calibri"/>
          <w:color w:val="000000"/>
          <w:sz w:val="20"/>
          <w:szCs w:val="20"/>
        </w:rPr>
        <w:t>CHD</w:t>
      </w:r>
      <w:r w:rsidR="00E37C32">
        <w:rPr>
          <w:rFonts w:ascii="Cambria" w:eastAsia="Times New Roman" w:hAnsi="Cambria" w:cs="Calibri"/>
          <w:color w:val="000000"/>
          <w:sz w:val="20"/>
          <w:szCs w:val="20"/>
          <w:vertAlign w:val="subscript"/>
        </w:rPr>
        <w:t>2</w:t>
      </w:r>
      <w:r w:rsidR="00892C64">
        <w:rPr>
          <w:rFonts w:ascii="Cambria" w:eastAsia="Times New Roman" w:hAnsi="Cambria" w:cs="Calibri"/>
          <w:color w:val="000000"/>
          <w:sz w:val="20"/>
          <w:szCs w:val="20"/>
        </w:rPr>
        <w:t xml:space="preserve">. Therefore, </w:t>
      </w:r>
      <w:r w:rsidR="004D69A1">
        <w:rPr>
          <w:rFonts w:ascii="Cambria" w:eastAsia="Times New Roman" w:hAnsi="Cambria" w:cs="Calibri"/>
          <w:color w:val="000000"/>
          <w:sz w:val="20"/>
          <w:szCs w:val="20"/>
        </w:rPr>
        <w:t xml:space="preserve">we set </w:t>
      </w:r>
      <w:r w:rsidR="00E37C32">
        <w:rPr>
          <w:rFonts w:ascii="Cambria" w:eastAsia="Times New Roman" w:hAnsi="Cambria" w:cs="Calibri"/>
          <w:color w:val="000000"/>
          <w:sz w:val="20"/>
          <w:szCs w:val="20"/>
        </w:rPr>
        <w:t>both</w:t>
      </w:r>
      <w:r w:rsidR="004D69A1">
        <w:rPr>
          <w:rFonts w:ascii="Cambria" w:eastAsia="Times New Roman" w:hAnsi="Cambria" w:cs="Calibri"/>
          <w:color w:val="000000"/>
          <w:sz w:val="20"/>
          <w:szCs w:val="20"/>
        </w:rPr>
        <w:t xml:space="preserve"> to 1.</w:t>
      </w:r>
    </w:p>
    <w:p w14:paraId="2DBDBCF1" w14:textId="7845CE37" w:rsidR="00B238C2" w:rsidRDefault="00B238C2" w:rsidP="00A8447F">
      <w:pPr>
        <w:pStyle w:val="ListParagraph"/>
      </w:pPr>
      <w:r>
        <w:rPr>
          <w:noProof/>
        </w:rPr>
        <w:lastRenderedPageBreak/>
        <w:drawing>
          <wp:inline distT="0" distB="0" distL="0" distR="0" wp14:anchorId="29050F64" wp14:editId="7C9B2AEB">
            <wp:extent cx="5190103" cy="39433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96DAC541-7B7A-43D3-8B79-37D633B846F1}">
                          <asvg:svgBlip xmlns:asvg="http://schemas.microsoft.com/office/drawing/2016/SVG/main" r:embed="rId7"/>
                        </a:ext>
                      </a:extLst>
                    </a:blip>
                    <a:srcRect t="9135" r="1710" b="34856"/>
                    <a:stretch/>
                  </pic:blipFill>
                  <pic:spPr bwMode="auto">
                    <a:xfrm>
                      <a:off x="0" y="0"/>
                      <a:ext cx="5193652" cy="3946047"/>
                    </a:xfrm>
                    <a:prstGeom prst="rect">
                      <a:avLst/>
                    </a:prstGeom>
                    <a:ln>
                      <a:noFill/>
                    </a:ln>
                    <a:extLst>
                      <a:ext uri="{53640926-AAD7-44D8-BBD7-CCE9431645EC}">
                        <a14:shadowObscured xmlns:a14="http://schemas.microsoft.com/office/drawing/2010/main"/>
                      </a:ext>
                    </a:extLst>
                  </pic:spPr>
                </pic:pic>
              </a:graphicData>
            </a:graphic>
          </wp:inline>
        </w:drawing>
      </w:r>
    </w:p>
    <w:p w14:paraId="20FCFE15" w14:textId="24AC428C" w:rsidR="007F7C05" w:rsidRDefault="007F7C05" w:rsidP="00A8447F">
      <w:pPr>
        <w:pStyle w:val="ListParagraph"/>
      </w:pPr>
    </w:p>
    <w:p w14:paraId="7F81C34E" w14:textId="302E8E5C" w:rsidR="007F7C05" w:rsidRDefault="007F7C05" w:rsidP="00A8447F">
      <w:pPr>
        <w:pStyle w:val="ListParagraph"/>
      </w:pPr>
    </w:p>
    <w:p w14:paraId="05181F31" w14:textId="09713E05" w:rsidR="007F7C05" w:rsidRDefault="007F7C05" w:rsidP="00A8447F">
      <w:pPr>
        <w:pStyle w:val="ListParagraph"/>
      </w:pPr>
    </w:p>
    <w:p w14:paraId="58650787" w14:textId="36DEAB59" w:rsidR="007F7C05" w:rsidRDefault="007F7C05" w:rsidP="00A8447F">
      <w:pPr>
        <w:pStyle w:val="ListParagraph"/>
      </w:pPr>
    </w:p>
    <w:p w14:paraId="17603EFD" w14:textId="625D3897" w:rsidR="007F7C05" w:rsidRDefault="007F7C05" w:rsidP="00A8447F">
      <w:pPr>
        <w:pStyle w:val="ListParagraph"/>
      </w:pPr>
    </w:p>
    <w:p w14:paraId="2D50DA0A" w14:textId="11C97BAA" w:rsidR="007F7C05" w:rsidRDefault="007F7C05" w:rsidP="00A8447F">
      <w:pPr>
        <w:pStyle w:val="ListParagraph"/>
      </w:pPr>
    </w:p>
    <w:p w14:paraId="7999EDEA" w14:textId="21491CF3" w:rsidR="007F7C05" w:rsidRDefault="007F7C05" w:rsidP="00A8447F">
      <w:pPr>
        <w:pStyle w:val="ListParagraph"/>
      </w:pPr>
    </w:p>
    <w:p w14:paraId="0CE86255" w14:textId="4A11185E" w:rsidR="007F7C05" w:rsidRDefault="007F7C05" w:rsidP="00A8447F">
      <w:pPr>
        <w:pStyle w:val="ListParagraph"/>
      </w:pPr>
    </w:p>
    <w:p w14:paraId="0CE09E8D" w14:textId="202F36E1" w:rsidR="007F7C05" w:rsidRDefault="007F7C05" w:rsidP="00A8447F">
      <w:pPr>
        <w:pStyle w:val="ListParagraph"/>
      </w:pPr>
    </w:p>
    <w:p w14:paraId="4E591D4B" w14:textId="4BC5B1FE" w:rsidR="007F7C05" w:rsidRDefault="007F7C05" w:rsidP="00A8447F">
      <w:pPr>
        <w:pStyle w:val="ListParagraph"/>
      </w:pPr>
    </w:p>
    <w:p w14:paraId="7A4A3EC0" w14:textId="0D565805" w:rsidR="007F7C05" w:rsidRDefault="007F7C05" w:rsidP="00A8447F">
      <w:pPr>
        <w:pStyle w:val="ListParagraph"/>
      </w:pPr>
    </w:p>
    <w:p w14:paraId="447B6C7E" w14:textId="4DFDEBD9" w:rsidR="007F7C05" w:rsidRDefault="007F7C05" w:rsidP="00A8447F">
      <w:pPr>
        <w:pStyle w:val="ListParagraph"/>
      </w:pPr>
    </w:p>
    <w:p w14:paraId="214DC803" w14:textId="3FFEEF4F" w:rsidR="007F7C05" w:rsidRDefault="007F7C05" w:rsidP="00A8447F">
      <w:pPr>
        <w:pStyle w:val="ListParagraph"/>
      </w:pPr>
    </w:p>
    <w:p w14:paraId="322F89D5" w14:textId="64C78BF0" w:rsidR="007F7C05" w:rsidRDefault="007F7C05" w:rsidP="00A8447F">
      <w:pPr>
        <w:pStyle w:val="ListParagraph"/>
      </w:pPr>
    </w:p>
    <w:p w14:paraId="5650750A" w14:textId="67A6EE53" w:rsidR="007F7C05" w:rsidRDefault="007F7C05" w:rsidP="00A8447F">
      <w:pPr>
        <w:pStyle w:val="ListParagraph"/>
      </w:pPr>
    </w:p>
    <w:p w14:paraId="0A11E35C" w14:textId="6B4C07E7" w:rsidR="007F7C05" w:rsidRDefault="007F7C05" w:rsidP="00A8447F">
      <w:pPr>
        <w:pStyle w:val="ListParagraph"/>
      </w:pPr>
    </w:p>
    <w:p w14:paraId="5ED80DB2" w14:textId="21924B58" w:rsidR="007F7C05" w:rsidRDefault="007F7C05" w:rsidP="00A8447F">
      <w:pPr>
        <w:pStyle w:val="ListParagraph"/>
      </w:pPr>
    </w:p>
    <w:p w14:paraId="0461351B" w14:textId="203F00E3" w:rsidR="007F7C05" w:rsidRDefault="007F7C05" w:rsidP="00A8447F">
      <w:pPr>
        <w:pStyle w:val="ListParagraph"/>
      </w:pPr>
    </w:p>
    <w:p w14:paraId="2C11C129" w14:textId="402BFA51" w:rsidR="007F7C05" w:rsidRDefault="007F7C05" w:rsidP="00A8447F">
      <w:pPr>
        <w:pStyle w:val="ListParagraph"/>
      </w:pPr>
    </w:p>
    <w:p w14:paraId="722EC6A5" w14:textId="0787A440" w:rsidR="007F7C05" w:rsidRDefault="007F7C05" w:rsidP="00A8447F">
      <w:pPr>
        <w:pStyle w:val="ListParagraph"/>
      </w:pPr>
    </w:p>
    <w:p w14:paraId="79B4EBE9" w14:textId="1C2124A0" w:rsidR="007F7C05" w:rsidRDefault="007F7C05" w:rsidP="00A8447F">
      <w:pPr>
        <w:pStyle w:val="ListParagraph"/>
      </w:pPr>
    </w:p>
    <w:p w14:paraId="3E86C4AC" w14:textId="5333DD50" w:rsidR="0083415D" w:rsidRDefault="0083415D" w:rsidP="00A8447F">
      <w:pPr>
        <w:pStyle w:val="ListParagraph"/>
      </w:pPr>
    </w:p>
    <w:p w14:paraId="07BE364F" w14:textId="77777777" w:rsidR="0083415D" w:rsidRDefault="0083415D" w:rsidP="00A8447F">
      <w:pPr>
        <w:pStyle w:val="ListParagraph"/>
      </w:pPr>
    </w:p>
    <w:p w14:paraId="0C758BD3" w14:textId="77777777" w:rsidR="007F7C05" w:rsidRDefault="007F7C05" w:rsidP="00A8447F">
      <w:pPr>
        <w:pStyle w:val="ListParagraph"/>
      </w:pPr>
    </w:p>
    <w:p w14:paraId="4FF199C0" w14:textId="77777777" w:rsidR="00D32846" w:rsidRDefault="00D32846" w:rsidP="00A8447F">
      <w:pPr>
        <w:pStyle w:val="ListParagraph"/>
      </w:pPr>
    </w:p>
    <w:p w14:paraId="2CCF2A90" w14:textId="2FE333A5" w:rsidR="00E217EB" w:rsidRDefault="00E217EB" w:rsidP="00E217EB">
      <w:pPr>
        <w:pStyle w:val="ListParagraph"/>
        <w:numPr>
          <w:ilvl w:val="0"/>
          <w:numId w:val="2"/>
        </w:numPr>
        <w:rPr>
          <w:rFonts w:ascii="Times New Roman" w:hAnsi="Times New Roman" w:cs="Times New Roman"/>
          <w:b/>
          <w:bCs/>
        </w:rPr>
      </w:pPr>
      <w:r w:rsidRPr="00E217EB">
        <w:rPr>
          <w:rFonts w:ascii="Times New Roman" w:hAnsi="Times New Roman" w:cs="Times New Roman"/>
          <w:b/>
          <w:bCs/>
        </w:rPr>
        <w:t>Basin modeling of selective wells in the Eagle Ford Shale</w:t>
      </w:r>
    </w:p>
    <w:p w14:paraId="3A410F8B" w14:textId="71E42B6C" w:rsidR="00E217EB" w:rsidRPr="007F7C05" w:rsidRDefault="007F7C05" w:rsidP="00E217EB">
      <w:pPr>
        <w:pStyle w:val="ListParagraph"/>
        <w:rPr>
          <w:rFonts w:ascii="Times New Roman" w:hAnsi="Times New Roman" w:cs="Times New Roman"/>
          <w:b/>
          <w:bCs/>
          <w:i/>
          <w:iCs/>
        </w:rPr>
      </w:pPr>
      <w:r w:rsidRPr="007F7C05">
        <w:rPr>
          <w:rFonts w:ascii="Times New Roman" w:hAnsi="Times New Roman" w:cs="Times New Roman"/>
          <w:b/>
          <w:bCs/>
          <w:i/>
          <w:iCs/>
        </w:rPr>
        <w:t>Virginia Fee 3H</w:t>
      </w:r>
    </w:p>
    <w:p w14:paraId="2BEBDCA7" w14:textId="5A1C791B" w:rsidR="00F63B4C" w:rsidRPr="007A053F" w:rsidRDefault="007F7C05" w:rsidP="007A053F">
      <w:pPr>
        <w:pStyle w:val="ListParagraph"/>
        <w:rPr>
          <w:rFonts w:ascii="Times New Roman" w:hAnsi="Times New Roman" w:cs="Times New Roman"/>
          <w:b/>
          <w:bCs/>
        </w:rPr>
      </w:pPr>
      <w:r>
        <w:rPr>
          <w:noProof/>
        </w:rPr>
        <w:drawing>
          <wp:inline distT="0" distB="0" distL="0" distR="0" wp14:anchorId="4D2D8588" wp14:editId="44677317">
            <wp:extent cx="5080000" cy="3003550"/>
            <wp:effectExtent l="0" t="0" r="6350" b="6350"/>
            <wp:docPr id="6" name="Picture 5">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100-000006000000}"/>
                        </a:ext>
                      </a:extLst>
                    </pic:cNvPr>
                    <pic:cNvPicPr>
                      <a:picLocks noChangeAspect="1"/>
                    </pic:cNvPicPr>
                  </pic:nvPicPr>
                  <pic:blipFill rotWithShape="1">
                    <a:blip r:embed="rId8"/>
                    <a:srcRect l="7693" t="17680" r="6838" b="8964"/>
                    <a:stretch/>
                  </pic:blipFill>
                  <pic:spPr bwMode="auto">
                    <a:xfrm>
                      <a:off x="0" y="0"/>
                      <a:ext cx="5080000" cy="3003550"/>
                    </a:xfrm>
                    <a:prstGeom prst="rect">
                      <a:avLst/>
                    </a:prstGeom>
                    <a:ln>
                      <a:noFill/>
                    </a:ln>
                    <a:extLst>
                      <a:ext uri="{53640926-AAD7-44D8-BBD7-CCE9431645EC}">
                        <a14:shadowObscured xmlns:a14="http://schemas.microsoft.com/office/drawing/2010/main"/>
                      </a:ext>
                    </a:extLst>
                  </pic:spPr>
                </pic:pic>
              </a:graphicData>
            </a:graphic>
          </wp:inline>
        </w:drawing>
      </w:r>
    </w:p>
    <w:p w14:paraId="31AFA128" w14:textId="41A4BEDD" w:rsidR="00F63B4C" w:rsidRDefault="00F63B4C" w:rsidP="00E217EB">
      <w:pPr>
        <w:pStyle w:val="ListParagraph"/>
        <w:rPr>
          <w:rFonts w:ascii="Times New Roman" w:hAnsi="Times New Roman" w:cs="Times New Roman"/>
          <w:b/>
          <w:bCs/>
        </w:rPr>
      </w:pPr>
    </w:p>
    <w:p w14:paraId="7B8F68EA" w14:textId="54755274" w:rsidR="00F63B4C" w:rsidRDefault="00F63B4C" w:rsidP="00E217EB">
      <w:pPr>
        <w:pStyle w:val="ListParagraph"/>
        <w:rPr>
          <w:rFonts w:ascii="Times New Roman" w:hAnsi="Times New Roman" w:cs="Times New Roman"/>
          <w:b/>
          <w:bCs/>
        </w:rPr>
      </w:pPr>
    </w:p>
    <w:p w14:paraId="33E90947" w14:textId="0E15BA2B" w:rsidR="00F63B4C" w:rsidRDefault="00F63B4C" w:rsidP="00E217EB">
      <w:pPr>
        <w:pStyle w:val="ListParagraph"/>
        <w:rPr>
          <w:rFonts w:ascii="Times New Roman" w:hAnsi="Times New Roman" w:cs="Times New Roman"/>
          <w:b/>
          <w:bCs/>
        </w:rPr>
      </w:pPr>
    </w:p>
    <w:p w14:paraId="7293C122" w14:textId="301A80F4" w:rsidR="00F63B4C" w:rsidRDefault="00F63B4C" w:rsidP="00E217EB">
      <w:pPr>
        <w:pStyle w:val="ListParagraph"/>
        <w:rPr>
          <w:rFonts w:ascii="Times New Roman" w:hAnsi="Times New Roman" w:cs="Times New Roman"/>
          <w:b/>
          <w:bCs/>
          <w:i/>
          <w:iCs/>
        </w:rPr>
      </w:pPr>
      <w:r>
        <w:rPr>
          <w:rFonts w:ascii="Times New Roman" w:hAnsi="Times New Roman" w:cs="Times New Roman"/>
          <w:b/>
          <w:bCs/>
          <w:i/>
          <w:iCs/>
        </w:rPr>
        <w:t>Irvin Minerals 1S</w:t>
      </w:r>
    </w:p>
    <w:p w14:paraId="03D1CBB0" w14:textId="5FD9BF40" w:rsidR="00623B57" w:rsidRPr="00F63B4C" w:rsidRDefault="00623B57" w:rsidP="00E217EB">
      <w:pPr>
        <w:pStyle w:val="ListParagraph"/>
        <w:rPr>
          <w:rFonts w:ascii="Times New Roman" w:hAnsi="Times New Roman" w:cs="Times New Roman"/>
          <w:b/>
          <w:bCs/>
          <w:i/>
          <w:iCs/>
        </w:rPr>
      </w:pPr>
      <w:r>
        <w:rPr>
          <w:noProof/>
        </w:rPr>
        <w:drawing>
          <wp:inline distT="0" distB="0" distL="0" distR="0" wp14:anchorId="3F8AD49D" wp14:editId="3300B6F5">
            <wp:extent cx="5727700" cy="3130550"/>
            <wp:effectExtent l="0" t="0" r="6350" b="0"/>
            <wp:docPr id="1" name="Picture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rotWithShape="1">
                    <a:blip r:embed="rId9"/>
                    <a:srcRect t="4523" r="3633" b="4817"/>
                    <a:stretch/>
                  </pic:blipFill>
                  <pic:spPr bwMode="auto">
                    <a:xfrm>
                      <a:off x="0" y="0"/>
                      <a:ext cx="5727700" cy="3130550"/>
                    </a:xfrm>
                    <a:prstGeom prst="rect">
                      <a:avLst/>
                    </a:prstGeom>
                    <a:ln>
                      <a:noFill/>
                    </a:ln>
                    <a:extLst>
                      <a:ext uri="{53640926-AAD7-44D8-BBD7-CCE9431645EC}">
                        <a14:shadowObscured xmlns:a14="http://schemas.microsoft.com/office/drawing/2010/main"/>
                      </a:ext>
                    </a:extLst>
                  </pic:spPr>
                </pic:pic>
              </a:graphicData>
            </a:graphic>
          </wp:inline>
        </w:drawing>
      </w:r>
    </w:p>
    <w:p w14:paraId="01AAA231" w14:textId="0A1CD7F1" w:rsidR="00E217EB" w:rsidRDefault="00E217EB" w:rsidP="00E217EB">
      <w:pPr>
        <w:pStyle w:val="ListParagraph"/>
        <w:rPr>
          <w:rFonts w:ascii="Times New Roman" w:hAnsi="Times New Roman" w:cs="Times New Roman"/>
          <w:b/>
          <w:bCs/>
        </w:rPr>
      </w:pPr>
    </w:p>
    <w:p w14:paraId="0F94FD7E" w14:textId="61CD7313" w:rsidR="00E217EB" w:rsidRDefault="00E217EB" w:rsidP="00E217EB">
      <w:pPr>
        <w:pStyle w:val="ListParagraph"/>
        <w:rPr>
          <w:rFonts w:ascii="Times New Roman" w:hAnsi="Times New Roman" w:cs="Times New Roman"/>
          <w:b/>
          <w:bCs/>
        </w:rPr>
      </w:pPr>
    </w:p>
    <w:p w14:paraId="2A85D7EA" w14:textId="79FE4A36" w:rsidR="00E217EB" w:rsidRDefault="00E217EB" w:rsidP="00E217EB">
      <w:pPr>
        <w:pStyle w:val="ListParagraph"/>
        <w:rPr>
          <w:rFonts w:ascii="Times New Roman" w:hAnsi="Times New Roman" w:cs="Times New Roman"/>
          <w:b/>
          <w:bCs/>
        </w:rPr>
      </w:pPr>
    </w:p>
    <w:p w14:paraId="2B7203F0" w14:textId="77777777" w:rsidR="00E217EB" w:rsidRDefault="00E217EB" w:rsidP="00E217EB">
      <w:pPr>
        <w:pStyle w:val="ListParagraph"/>
        <w:rPr>
          <w:rFonts w:ascii="Times New Roman" w:hAnsi="Times New Roman" w:cs="Times New Roman"/>
          <w:b/>
          <w:bCs/>
        </w:rPr>
      </w:pPr>
    </w:p>
    <w:p w14:paraId="4438B687" w14:textId="0F3551D2" w:rsidR="00D32846" w:rsidRPr="00762923" w:rsidRDefault="00D32846" w:rsidP="00D32846">
      <w:pPr>
        <w:pStyle w:val="ListParagraph"/>
        <w:numPr>
          <w:ilvl w:val="0"/>
          <w:numId w:val="2"/>
        </w:numPr>
        <w:rPr>
          <w:rFonts w:ascii="Times New Roman" w:hAnsi="Times New Roman" w:cs="Times New Roman"/>
          <w:b/>
          <w:bCs/>
        </w:rPr>
      </w:pPr>
      <w:r w:rsidRPr="00762923">
        <w:rPr>
          <w:rFonts w:ascii="Times New Roman" w:hAnsi="Times New Roman" w:cs="Times New Roman"/>
          <w:b/>
          <w:bCs/>
        </w:rPr>
        <w:lastRenderedPageBreak/>
        <w:t>List of publications and reports with compound-specific hydrogen isotope data of C1, C2 and C3</w:t>
      </w:r>
    </w:p>
    <w:tbl>
      <w:tblPr>
        <w:tblW w:w="7970" w:type="dxa"/>
        <w:jc w:val="center"/>
        <w:tblLook w:val="04A0" w:firstRow="1" w:lastRow="0" w:firstColumn="1" w:lastColumn="0" w:noHBand="0" w:noVBand="1"/>
      </w:tblPr>
      <w:tblGrid>
        <w:gridCol w:w="3166"/>
        <w:gridCol w:w="4804"/>
      </w:tblGrid>
      <w:tr w:rsidR="00D669E2" w:rsidRPr="00C44295" w14:paraId="4C0DC923" w14:textId="77777777" w:rsidTr="000178A8">
        <w:trPr>
          <w:trHeight w:val="484"/>
          <w:jc w:val="center"/>
        </w:trPr>
        <w:tc>
          <w:tcPr>
            <w:tcW w:w="3166" w:type="dxa"/>
            <w:tcBorders>
              <w:top w:val="nil"/>
              <w:left w:val="single" w:sz="4" w:space="0" w:color="auto"/>
              <w:bottom w:val="nil"/>
              <w:right w:val="single" w:sz="4" w:space="0" w:color="auto"/>
            </w:tcBorders>
            <w:shd w:val="clear" w:color="auto" w:fill="auto"/>
            <w:noWrap/>
            <w:vAlign w:val="center"/>
            <w:hideMark/>
          </w:tcPr>
          <w:p w14:paraId="7278186F" w14:textId="0DDD7FFA" w:rsidR="00EC66BE" w:rsidRPr="00C44295" w:rsidRDefault="00EC66BE" w:rsidP="000178A8">
            <w:pPr>
              <w:spacing w:after="0" w:line="240" w:lineRule="auto"/>
              <w:jc w:val="center"/>
              <w:rPr>
                <w:rFonts w:ascii="Cambria" w:eastAsia="Times New Roman" w:hAnsi="Cambria" w:cs="Calibri"/>
                <w:color w:val="000000"/>
              </w:rPr>
            </w:pPr>
            <w:r>
              <w:rPr>
                <w:rFonts w:ascii="Cambria" w:eastAsia="Times New Roman" w:hAnsi="Cambria" w:cs="Calibri"/>
                <w:color w:val="000000"/>
              </w:rPr>
              <w:t>Reference</w:t>
            </w:r>
          </w:p>
        </w:tc>
        <w:tc>
          <w:tcPr>
            <w:tcW w:w="4804" w:type="dxa"/>
            <w:tcBorders>
              <w:top w:val="nil"/>
              <w:left w:val="single" w:sz="4" w:space="0" w:color="auto"/>
              <w:bottom w:val="nil"/>
              <w:right w:val="single" w:sz="4" w:space="0" w:color="auto"/>
            </w:tcBorders>
            <w:shd w:val="clear" w:color="auto" w:fill="auto"/>
            <w:noWrap/>
            <w:vAlign w:val="center"/>
            <w:hideMark/>
          </w:tcPr>
          <w:p w14:paraId="044E5489" w14:textId="33AE2928" w:rsidR="00EC66BE" w:rsidRPr="00C44295" w:rsidRDefault="00EC66BE" w:rsidP="000178A8">
            <w:pPr>
              <w:spacing w:after="0" w:line="240" w:lineRule="auto"/>
              <w:jc w:val="center"/>
              <w:rPr>
                <w:rFonts w:ascii="Cambria" w:eastAsia="Times New Roman" w:hAnsi="Cambria" w:cs="Calibri"/>
                <w:color w:val="000000"/>
              </w:rPr>
            </w:pPr>
            <w:r>
              <w:rPr>
                <w:rFonts w:ascii="Cambria" w:eastAsia="Times New Roman" w:hAnsi="Cambria" w:cs="Calibri"/>
                <w:color w:val="000000"/>
              </w:rPr>
              <w:t>Note</w:t>
            </w:r>
          </w:p>
        </w:tc>
      </w:tr>
      <w:tr w:rsidR="00D669E2" w:rsidRPr="00C44295" w14:paraId="58218A98" w14:textId="77777777" w:rsidTr="007438AC">
        <w:trPr>
          <w:trHeight w:val="484"/>
          <w:jc w:val="center"/>
        </w:trPr>
        <w:tc>
          <w:tcPr>
            <w:tcW w:w="3166" w:type="dxa"/>
            <w:tcBorders>
              <w:top w:val="single" w:sz="4" w:space="0" w:color="auto"/>
              <w:left w:val="single" w:sz="4" w:space="0" w:color="auto"/>
              <w:bottom w:val="nil"/>
              <w:right w:val="single" w:sz="4" w:space="0" w:color="auto"/>
            </w:tcBorders>
            <w:shd w:val="clear" w:color="auto" w:fill="auto"/>
            <w:noWrap/>
            <w:vAlign w:val="center"/>
            <w:hideMark/>
          </w:tcPr>
          <w:p w14:paraId="47EA147D" w14:textId="2902679A" w:rsidR="00EC66BE" w:rsidRPr="00C44295" w:rsidRDefault="00CE5020"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9A4BF8">
              <w:rPr>
                <w:rFonts w:ascii="Cambria" w:eastAsia="Times New Roman" w:hAnsi="Cambria" w:cs="Calibri"/>
                <w:color w:val="000000"/>
                <w:sz w:val="20"/>
                <w:szCs w:val="20"/>
              </w:rPr>
              <w:instrText>ADDIN CSL_CITATION {"citationItems":[{"id":"ITEM-1","itemData":{"author":[{"dropping-particle":"","family":"Krouse","given":"H. R.","non-dropping-particle":"","parse-names":false,"suffix":""}],"id":"ITEM-1","issued":{"date-parts":[["1983"]]},"title":"Stable isotope research in support of more effective utilization of gas fields in Alberta: Final report to the Alberta-Canada Energy Resource Research Fund.","type":"report"},"uris":["http://www.mendeley.com/documents/?uuid=9ef90969-35a5-4c46-8d0b-5927093561d0"]}],"mendeley":{"formattedCitation":"(Krouse, 1983)","manualFormatting":"Krouse (1983)","plainTextFormattedCitation":"(Krouse, 1983)","previouslyFormattedCitation":"(Krouse, 1983)"},"properties":{"noteIndex":0},"schema":"https://github.com/citation-style-language/schema/raw/master/csl-citation.json"}</w:instrText>
            </w:r>
            <w:r>
              <w:rPr>
                <w:rFonts w:ascii="Cambria" w:eastAsia="Times New Roman" w:hAnsi="Cambria" w:cs="Calibri"/>
                <w:color w:val="000000"/>
                <w:sz w:val="20"/>
                <w:szCs w:val="20"/>
              </w:rPr>
              <w:fldChar w:fldCharType="separate"/>
            </w:r>
            <w:r w:rsidRPr="00CE5020">
              <w:rPr>
                <w:rFonts w:ascii="Cambria" w:eastAsia="Times New Roman" w:hAnsi="Cambria" w:cs="Calibri"/>
                <w:noProof/>
                <w:color w:val="000000"/>
                <w:sz w:val="20"/>
                <w:szCs w:val="20"/>
              </w:rPr>
              <w:t>Krouse</w:t>
            </w:r>
            <w:r>
              <w:rPr>
                <w:rFonts w:ascii="Cambria" w:eastAsia="Times New Roman" w:hAnsi="Cambria" w:cs="Calibri"/>
                <w:noProof/>
                <w:color w:val="000000"/>
                <w:sz w:val="20"/>
                <w:szCs w:val="20"/>
              </w:rPr>
              <w:t xml:space="preserve"> (</w:t>
            </w:r>
            <w:r w:rsidRPr="00CE5020">
              <w:rPr>
                <w:rFonts w:ascii="Cambria" w:eastAsia="Times New Roman" w:hAnsi="Cambria" w:cs="Calibri"/>
                <w:noProof/>
                <w:color w:val="000000"/>
                <w:sz w:val="20"/>
                <w:szCs w:val="20"/>
              </w:rPr>
              <w:t>1983)</w:t>
            </w:r>
            <w:r>
              <w:rPr>
                <w:rFonts w:ascii="Cambria" w:eastAsia="Times New Roman" w:hAnsi="Cambria" w:cs="Calibri"/>
                <w:color w:val="000000"/>
                <w:sz w:val="20"/>
                <w:szCs w:val="20"/>
              </w:rPr>
              <w:fldChar w:fldCharType="end"/>
            </w:r>
          </w:p>
        </w:tc>
        <w:tc>
          <w:tcPr>
            <w:tcW w:w="4804" w:type="dxa"/>
            <w:tcBorders>
              <w:top w:val="single" w:sz="4" w:space="0" w:color="auto"/>
              <w:left w:val="single" w:sz="4" w:space="0" w:color="auto"/>
              <w:bottom w:val="nil"/>
              <w:right w:val="single" w:sz="4" w:space="0" w:color="auto"/>
            </w:tcBorders>
            <w:shd w:val="clear" w:color="auto" w:fill="auto"/>
            <w:noWrap/>
            <w:vAlign w:val="center"/>
            <w:hideMark/>
          </w:tcPr>
          <w:p w14:paraId="7A20D1E7" w14:textId="7588F78B" w:rsidR="00EC66BE" w:rsidRPr="00C44295" w:rsidRDefault="000E46D2"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 xml:space="preserve">Partially </w:t>
            </w:r>
            <w:r w:rsidR="00B61AB1">
              <w:rPr>
                <w:rFonts w:ascii="Cambria" w:eastAsia="Times New Roman" w:hAnsi="Cambria" w:cs="Calibri"/>
                <w:color w:val="000000"/>
                <w:sz w:val="20"/>
                <w:szCs w:val="20"/>
              </w:rPr>
              <w:t>excluded</w:t>
            </w:r>
            <w:r w:rsidR="00F03884">
              <w:rPr>
                <w:rFonts w:ascii="Cambria" w:eastAsia="Times New Roman" w:hAnsi="Cambria" w:cs="Calibri"/>
                <w:color w:val="000000"/>
                <w:sz w:val="20"/>
                <w:szCs w:val="20"/>
              </w:rPr>
              <w:t xml:space="preserve"> – d</w:t>
            </w:r>
            <w:r w:rsidR="0051291D">
              <w:rPr>
                <w:rFonts w:ascii="Cambria" w:eastAsia="Times New Roman" w:hAnsi="Cambria" w:cs="Calibri"/>
                <w:color w:val="000000"/>
                <w:sz w:val="20"/>
                <w:szCs w:val="20"/>
              </w:rPr>
              <w:t xml:space="preserve">ata with </w:t>
            </w:r>
            <w:r w:rsidR="00EF5BC3">
              <w:rPr>
                <w:rFonts w:ascii="Cambria" w:eastAsia="Times New Roman" w:hAnsi="Cambria" w:cs="Calibri"/>
                <w:color w:val="000000"/>
                <w:sz w:val="20"/>
                <w:szCs w:val="20"/>
              </w:rPr>
              <w:t xml:space="preserve">well depth shallower than 1700m are excluded due to microbial activity </w:t>
            </w:r>
          </w:p>
        </w:tc>
      </w:tr>
      <w:tr w:rsidR="00D669E2" w:rsidRPr="00C44295" w14:paraId="4AFBF9C9"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hideMark/>
          </w:tcPr>
          <w:p w14:paraId="19CED6D7" w14:textId="16D171D5" w:rsidR="00EC66BE" w:rsidRPr="00C44295" w:rsidRDefault="009A4BF8"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0E46D2">
              <w:rPr>
                <w:rFonts w:ascii="Cambria" w:eastAsia="Times New Roman" w:hAnsi="Cambria" w:cs="Calibri"/>
                <w:color w:val="000000"/>
                <w:sz w:val="20"/>
                <w:szCs w:val="20"/>
              </w:rPr>
              <w:instrText>ADDIN CSL_CITATION {"citationItems":[{"id":"ITEM-1","itemData":{"DOI":"10.1016/0009-2541(95)00123-9","ISSN":"00092541","abstract":"From molecular and isotopic data obtained with a new separation technique, and from published data, it is possible to discuss the relative importance of genetic and post-genetic molecular and isotopic fractionations affecting natural gases. Using a δ13Ciδ13Cj versus ln( Ci Cj) plot, we suggest from the ethane-propane system that it is possible to distinguish hydrocarbon gases generated by the primary cracking of kerogen, from gases generated by the secondary cracking of oil. With the methane-ethane system, we discuss mixing of thermogenic and biogenic gases, degree of maturity of thermogenic gases, and residues of diffusive leakage. We consider that although the prime order of fractionation in gases is due to genetic phenomena, second-order effects due to post-genetic fractionation (diffusion, oxidation etc.) may be recognized, and in some cases must be taken into account to model the geochemical data on a gas field. © 1995.","author":[{"dropping-particle":"","family":"Prinzhofer","given":"Alain A.","non-dropping-particle":"","parse-names":false,"suffix":""},{"dropping-particle":"","family":"Huc","given":"Alain Y.","non-dropping-particle":"","parse-names":false,"suffix":""}],"container-title":"Chemical Geology","id":"ITEM-1","issue":"3-4","issued":{"date-parts":[["1995","12","20"]]},"page":"281-290","publisher":"Elsevier","title":"Genetic and post-genetic molecular and isotopic fractionations in natural gases","type":"article-journal","volume":"126"},"uris":["http://www.mendeley.com/documents/?uuid=0103f4a8-ffb5-3328-a67a-7ca81ba19980"]}],"mendeley":{"formattedCitation":"(Prinzhofer and Huc, 1995)","manualFormatting":"Prinzhofer and Huc (1995)","plainTextFormattedCitation":"(Prinzhofer and Huc, 1995)","previouslyFormattedCitation":"(Prinzhofer and Huc, 1995)"},"properties":{"noteIndex":0},"schema":"https://github.com/citation-style-language/schema/raw/master/csl-citation.json"}</w:instrText>
            </w:r>
            <w:r>
              <w:rPr>
                <w:rFonts w:ascii="Cambria" w:eastAsia="Times New Roman" w:hAnsi="Cambria" w:cs="Calibri"/>
                <w:color w:val="000000"/>
                <w:sz w:val="20"/>
                <w:szCs w:val="20"/>
              </w:rPr>
              <w:fldChar w:fldCharType="separate"/>
            </w:r>
            <w:r w:rsidRPr="009A4BF8">
              <w:rPr>
                <w:rFonts w:ascii="Cambria" w:eastAsia="Times New Roman" w:hAnsi="Cambria" w:cs="Calibri"/>
                <w:noProof/>
                <w:color w:val="000000"/>
                <w:sz w:val="20"/>
                <w:szCs w:val="20"/>
              </w:rPr>
              <w:t xml:space="preserve">Prinzhofer and Huc </w:t>
            </w:r>
            <w:r>
              <w:rPr>
                <w:rFonts w:ascii="Cambria" w:eastAsia="Times New Roman" w:hAnsi="Cambria" w:cs="Calibri"/>
                <w:noProof/>
                <w:color w:val="000000"/>
                <w:sz w:val="20"/>
                <w:szCs w:val="20"/>
              </w:rPr>
              <w:t>(</w:t>
            </w:r>
            <w:r w:rsidRPr="009A4BF8">
              <w:rPr>
                <w:rFonts w:ascii="Cambria" w:eastAsia="Times New Roman" w:hAnsi="Cambria" w:cs="Calibri"/>
                <w:noProof/>
                <w:color w:val="000000"/>
                <w:sz w:val="20"/>
                <w:szCs w:val="20"/>
              </w:rPr>
              <w:t>1995)</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hideMark/>
          </w:tcPr>
          <w:p w14:paraId="2F14C5FB" w14:textId="0770A5AC" w:rsidR="00EC66BE" w:rsidRPr="00C44295" w:rsidRDefault="009A4BF8"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Included</w:t>
            </w:r>
          </w:p>
        </w:tc>
      </w:tr>
      <w:tr w:rsidR="00D669E2" w:rsidRPr="00C44295" w14:paraId="25AC8D32"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hideMark/>
          </w:tcPr>
          <w:p w14:paraId="3FAA786C" w14:textId="5849D599" w:rsidR="00EC66BE" w:rsidRPr="00C44295" w:rsidRDefault="000E46D2"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435FAD">
              <w:rPr>
                <w:rFonts w:ascii="Cambria" w:eastAsia="Times New Roman" w:hAnsi="Cambria" w:cs="Calibri"/>
                <w:color w:val="000000"/>
                <w:sz w:val="20"/>
                <w:szCs w:val="20"/>
              </w:rPr>
              <w:instrText>ADDIN CSL_CITATION {"citationItems":[{"id":"ITEM-1","itemData":{"DOI":"10.2523/30265-ms","abstract":"The development of Western Canada's oil and gas reservoirs resulted in a proliferation of wells most of which exhibit gas migration to surface. Such migration occurs at rates between 0.01 and 200 m3/day and is of obvious industrial and public concern. By identifying the origin of the gas, the economics and the effectiveness of remedial measures can be improved. However, attempts to eliminate gas migration have been expensive and unsuccessful as the problem is not yet well understood. In this article, the production and the migrating gas in the Lindbergh-Lloydminster oil fields are characterized.","author":[{"dropping-particle":"","family":"Rich","given":"K.","non-dropping-particle":"","parse-names":false,"suffix":""},{"dropping-particle":"","family":"Muehlenbachs","given":"K.","non-dropping-particle":"","parse-names":false,"suffix":""},{"dropping-particle":"","family":"Uhrich","given":"K.","non-dropping-particle":"","parse-names":false,"suffix":""},{"dropping-particle":"","family":"Greenwood","given":"G.","non-dropping-particle":"","parse-names":false,"suffix":""}],"container-title":"Proceedings - SPE International Heavy Oil Symposium","id":"ITEM-1","issued":{"date-parts":[["1995","4","4"]]},"page":"215-224","publisher":"Society of Petroleum Engineers","title":"Carbon isotope characterization of migrating gas in the heavy oil fields of Alberta, Canada","type":"paper-conference"},"uris":["http://www.mendeley.com/documents/?uuid=7f322954-7854-3765-9a31-11b161fe18d0"]}],"mendeley":{"formattedCitation":"(Rich et al., 1995)","manualFormatting":"Rich et al. (1995)","plainTextFormattedCitation":"(Rich et al., 1995)","previouslyFormattedCitation":"(Rich et al., 1995)"},"properties":{"noteIndex":0},"schema":"https://github.com/citation-style-language/schema/raw/master/csl-citation.json"}</w:instrText>
            </w:r>
            <w:r>
              <w:rPr>
                <w:rFonts w:ascii="Cambria" w:eastAsia="Times New Roman" w:hAnsi="Cambria" w:cs="Calibri"/>
                <w:color w:val="000000"/>
                <w:sz w:val="20"/>
                <w:szCs w:val="20"/>
              </w:rPr>
              <w:fldChar w:fldCharType="separate"/>
            </w:r>
            <w:r w:rsidRPr="000E46D2">
              <w:rPr>
                <w:rFonts w:ascii="Cambria" w:eastAsia="Times New Roman" w:hAnsi="Cambria" w:cs="Calibri"/>
                <w:noProof/>
                <w:color w:val="000000"/>
                <w:sz w:val="20"/>
                <w:szCs w:val="20"/>
              </w:rPr>
              <w:t>Rich et al.</w:t>
            </w:r>
            <w:r>
              <w:rPr>
                <w:rFonts w:ascii="Cambria" w:eastAsia="Times New Roman" w:hAnsi="Cambria" w:cs="Calibri"/>
                <w:noProof/>
                <w:color w:val="000000"/>
                <w:sz w:val="20"/>
                <w:szCs w:val="20"/>
              </w:rPr>
              <w:t xml:space="preserve"> (</w:t>
            </w:r>
            <w:r w:rsidRPr="000E46D2">
              <w:rPr>
                <w:rFonts w:ascii="Cambria" w:eastAsia="Times New Roman" w:hAnsi="Cambria" w:cs="Calibri"/>
                <w:noProof/>
                <w:color w:val="000000"/>
                <w:sz w:val="20"/>
                <w:szCs w:val="20"/>
              </w:rPr>
              <w:t>1995)</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hideMark/>
          </w:tcPr>
          <w:p w14:paraId="09DAB05D" w14:textId="62EA5E9F" w:rsidR="00EC66BE" w:rsidRPr="00C44295" w:rsidRDefault="00B61AB1"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Excluded</w:t>
            </w:r>
            <w:r w:rsidR="00F03884">
              <w:rPr>
                <w:rFonts w:ascii="Cambria" w:eastAsia="Times New Roman" w:hAnsi="Cambria" w:cs="Calibri"/>
                <w:color w:val="000000"/>
                <w:sz w:val="20"/>
                <w:szCs w:val="20"/>
              </w:rPr>
              <w:t xml:space="preserve"> due to biogenic methane</w:t>
            </w:r>
          </w:p>
        </w:tc>
      </w:tr>
      <w:tr w:rsidR="00D669E2" w:rsidRPr="00C44295" w14:paraId="5EAC137C"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hideMark/>
          </w:tcPr>
          <w:p w14:paraId="67B16D7C" w14:textId="0F7B2532" w:rsidR="00EC66BE" w:rsidRPr="00C44295" w:rsidRDefault="00435FAD"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D3029A">
              <w:rPr>
                <w:rFonts w:ascii="Cambria" w:eastAsia="Times New Roman" w:hAnsi="Cambria" w:cs="Calibri"/>
                <w:color w:val="000000"/>
                <w:sz w:val="20"/>
                <w:szCs w:val="20"/>
              </w:rPr>
              <w:instrText>ADDIN CSL_CITATION {"citationItems":[{"id":"ITEM-1","itemData":{"DOI":"10.1016/S0883-2927(00)00045-7","ISSN":"08832927","abstract":"The chemical and isotopic compositions of gases from hydrocarbon systems of the Taranaki Basin of New Zealand (both offshore and onshore) show wide variation. The most striking difference between the western and south-eastern groups of gases is the helium content and its isotopic ratio. In the west, the Maui gas is over an order of magnitude higher in helium concentration (up to 190 μmol mol-1) and its 3He/4He ratio of 3.8 RA (where RA = the air 3He/4He ratio of 1.4×10-6) is approximately half that of upper mantle helium issuing from volcanic vents of the Taupo Volcanic Zone. In the SE, the Kupe South and most Kapuni natural gases have only a minor mantle helium input of 0.03-0.32 RA and low total helium concentrations of 10-19 μmol mol-1. The 3He/C ratio (where C represents the total carbon in the gas phase) of the samples measured including those from a recent study of on-shore Taranaki natural gases are generally high at locations where the surface heat flow is high. The 3He/CO2 ratio of the Maui gases of 5 to 18×10-9 is higher than the MORB value of 0.2 to 0.5×10-9, a feature found in other continental basins such as the Pannonian and Vienna basins and in many high helium wells in the USA. Extrapolation to zero CO2/3He and CO2/C indicates δ13C(CO2) values between -7 and -5% ‰ close to that of MORB C02. The remaining CO2 would appear to be mostly organically influenced with δ13C(C02) c.-15 ‰. There is some evidence of marine carbonate CO2 in the gases from the New Plymouth field. The radiogenic 4He content (Herad) varies across the Taranaki Basin with the highest Herad/C ratios occurring in the Maui field. δ13C(CH4) becomes more enriched in 13C with increasing Herad and hydrocarbon maturity. Because 3He/4He is related to the ratio of mantle to radiogenic crustal helium and 3He/C is virtually constant in the Maui field, there is a correlation between RC/RA (where RC=air-corrected 3He/4He) and δ13C(CH4) in the Maui and New Plymouth fields, with the more negative δ13C(CH4) values corresponding to high 3He/4He ratios. A correlation between 3He/4He and δ13C(CO2) was also observed in the Maui field. In the fields adjacent to Mt Taranaki (2518 m andesitic volcano), correlations of some parameters, particularly CO2/CH4, C2H6/CH4 and δ13C(CH4), are present with increasing depth of the gas reservoir and with distance from the volcanic cone. © 2001 Elsevier Science Ltd.","author":[{"dropping-particle":"","family":"Hulston","given":"John R.","non-dropping-particle":"","parse-names":false,"suffix":""},{"dropping-particle":"","family":"Hilton","given":"D. R.","non-dropping-particle":"","parse-names":false,"suffix":""},{"dropping-particle":"","family":"Kaplan","given":"I. R.","non-dropping-particle":"","parse-names":false,"suffix":""}],"container-title":"Applied Geochemistry","id":"ITEM-1","issue":"4","issued":{"date-parts":[["2001","3","1"]]},"page":"419-436","publisher":"Pergamon","title":"Helium and carbon isotope systematics of natural gases from Taranaki Basin, New Zealand","type":"article-journal","volume":"16"},"uris":["http://www.mendeley.com/documents/?uuid=e8053f42-aca2-3313-9aee-84d47d775512"]}],"mendeley":{"formattedCitation":"(Hulston et al., 2001)","manualFormatting":"Hulston et al. (2001)","plainTextFormattedCitation":"(Hulston et al., 2001)","previouslyFormattedCitation":"(Hulston et al., 2001)"},"properties":{"noteIndex":0},"schema":"https://github.com/citation-style-language/schema/raw/master/csl-citation.json"}</w:instrText>
            </w:r>
            <w:r>
              <w:rPr>
                <w:rFonts w:ascii="Cambria" w:eastAsia="Times New Roman" w:hAnsi="Cambria" w:cs="Calibri"/>
                <w:color w:val="000000"/>
                <w:sz w:val="20"/>
                <w:szCs w:val="20"/>
              </w:rPr>
              <w:fldChar w:fldCharType="separate"/>
            </w:r>
            <w:r w:rsidRPr="00435FAD">
              <w:rPr>
                <w:rFonts w:ascii="Cambria" w:eastAsia="Times New Roman" w:hAnsi="Cambria" w:cs="Calibri"/>
                <w:noProof/>
                <w:color w:val="000000"/>
                <w:sz w:val="20"/>
                <w:szCs w:val="20"/>
              </w:rPr>
              <w:t xml:space="preserve">Hulston et al. </w:t>
            </w:r>
            <w:r>
              <w:rPr>
                <w:rFonts w:ascii="Cambria" w:eastAsia="Times New Roman" w:hAnsi="Cambria" w:cs="Calibri"/>
                <w:noProof/>
                <w:color w:val="000000"/>
                <w:sz w:val="20"/>
                <w:szCs w:val="20"/>
              </w:rPr>
              <w:t>(</w:t>
            </w:r>
            <w:r w:rsidRPr="00435FAD">
              <w:rPr>
                <w:rFonts w:ascii="Cambria" w:eastAsia="Times New Roman" w:hAnsi="Cambria" w:cs="Calibri"/>
                <w:noProof/>
                <w:color w:val="000000"/>
                <w:sz w:val="20"/>
                <w:szCs w:val="20"/>
              </w:rPr>
              <w:t>2001)</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hideMark/>
          </w:tcPr>
          <w:p w14:paraId="1CC22257" w14:textId="371640C4" w:rsidR="00EC66BE" w:rsidRPr="00C44295" w:rsidRDefault="00435FAD"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Included</w:t>
            </w:r>
          </w:p>
        </w:tc>
      </w:tr>
      <w:tr w:rsidR="00435FAD" w:rsidRPr="00C44295" w14:paraId="397B34A1"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0F773720" w14:textId="6326A0EE" w:rsidR="00435FAD" w:rsidRDefault="00D3029A"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DE44DA">
              <w:rPr>
                <w:rFonts w:ascii="Cambria" w:eastAsia="Times New Roman" w:hAnsi="Cambria" w:cs="Calibri"/>
                <w:color w:val="000000"/>
                <w:sz w:val="20"/>
                <w:szCs w:val="20"/>
              </w:rPr>
              <w:instrText>ADDIN CSL_CITATION {"citationItems":[{"id":"ITEM-1","itemData":{"DOI":"10.1016/j.orggeochem.2006.09.005","ISSN":"01466380","abstract":"Coalbed gases and waters from exploratory and production gas wells in the southeastern Illinois Basin were sampled to assess geochemically the origin of coalbed gases, with an emphasis on the Springfield and Seelyville Coal Members that are commercially targeted for coalbed methane production in Indiana. On-line analyses of hydrocarbon gases methane to butanes (C1, C2, C3, n-C4, i-C4) and CO2 yielded gas concentrations, plus δD and δ13C values. The low thermal maturity of Indiana coals with vitrinite reflectance R0 ∼ 0.6% is in agreement with an overwhelmingly biogenic isotopic signature of coalbed gases containing ≥96% methane generated via bacterial CO2-reduction. In contrast, thermogenic gas was generated in the stratigraphically equivalent coal beds in western Kentucky's Rough Creek Graben zone where higher maturities of up to R0 ∼ 0.8% were reached owing to tectonic and hydrothermal activity. No secondary biogenic methane was observed in more mature western Kentucky coal beds where greater burial depth limits the recharge of meteoric water. Biogenic and thermogenic coalbed gases represent two end-members that are compositionally and isotopically distinct. Microbial biodegradation of thermogenic C2+ hydrocarbon gases in Indiana coal beds preferentially targets C3 and introduces isotope fractionation whereby remaining C3 is enriched in deuterium and 13C.","author":[{"dropping-particle":"","family":"Strapoć","given":"Dariusz","non-dropping-particle":"","parse-names":false,"suffix":""},{"dropping-particle":"","family":"Mastalerz","given":"Maria","non-dropping-particle":"","parse-names":false,"suffix":""},{"dropping-particle":"","family":"Eble","given":"Cortland","non-dropping-particle":"","parse-names":false,"suffix":""},{"dropping-particle":"","family":"Schimmelmann","given":"Arndt","non-dropping-particle":"","parse-names":false,"suffix":""}],"container-title":"Organic Geochemistry","id":"ITEM-1","issue":"2","issued":{"date-parts":[["2007","2","1"]]},"page":"267-287","publisher":"Pergamon","title":"Characterization of the origin of coalbed gases in southeastern Illinois Basin by compound-specific carbon and hydrogen stable isotope ratios","type":"article-journal","volume":"38"},"uris":["http://www.mendeley.com/documents/?uuid=6237d238-3d1a-339c-854f-c4be311a64fc"]}],"mendeley":{"formattedCitation":"(Strapoć et al., 2007)","manualFormatting":"Strapoć et al. (2007)","plainTextFormattedCitation":"(Strapoć et al., 2007)","previouslyFormattedCitation":"(Strapoć et al., 2007)"},"properties":{"noteIndex":0},"schema":"https://github.com/citation-style-language/schema/raw/master/csl-citation.json"}</w:instrText>
            </w:r>
            <w:r>
              <w:rPr>
                <w:rFonts w:ascii="Cambria" w:eastAsia="Times New Roman" w:hAnsi="Cambria" w:cs="Calibri"/>
                <w:color w:val="000000"/>
                <w:sz w:val="20"/>
                <w:szCs w:val="20"/>
              </w:rPr>
              <w:fldChar w:fldCharType="separate"/>
            </w:r>
            <w:r w:rsidRPr="00D3029A">
              <w:rPr>
                <w:rFonts w:ascii="Cambria" w:eastAsia="Times New Roman" w:hAnsi="Cambria" w:cs="Calibri"/>
                <w:noProof/>
                <w:color w:val="000000"/>
                <w:sz w:val="20"/>
                <w:szCs w:val="20"/>
              </w:rPr>
              <w:t xml:space="preserve">Strapoć et al. </w:t>
            </w:r>
            <w:r>
              <w:rPr>
                <w:rFonts w:ascii="Cambria" w:eastAsia="Times New Roman" w:hAnsi="Cambria" w:cs="Calibri"/>
                <w:noProof/>
                <w:color w:val="000000"/>
                <w:sz w:val="20"/>
                <w:szCs w:val="20"/>
              </w:rPr>
              <w:t>(</w:t>
            </w:r>
            <w:r w:rsidRPr="00D3029A">
              <w:rPr>
                <w:rFonts w:ascii="Cambria" w:eastAsia="Times New Roman" w:hAnsi="Cambria" w:cs="Calibri"/>
                <w:noProof/>
                <w:color w:val="000000"/>
                <w:sz w:val="20"/>
                <w:szCs w:val="20"/>
              </w:rPr>
              <w:t>2007)</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6B8A736E" w14:textId="3B55E53E" w:rsidR="00435FAD" w:rsidRDefault="00B61AB1"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Excluded</w:t>
            </w:r>
            <w:r w:rsidR="00D3029A">
              <w:rPr>
                <w:rFonts w:ascii="Cambria" w:eastAsia="Times New Roman" w:hAnsi="Cambria" w:cs="Calibri"/>
                <w:color w:val="000000"/>
                <w:sz w:val="20"/>
                <w:szCs w:val="20"/>
              </w:rPr>
              <w:t xml:space="preserve"> due to biogenic methane</w:t>
            </w:r>
          </w:p>
        </w:tc>
      </w:tr>
      <w:tr w:rsidR="00435FAD" w:rsidRPr="00C44295" w14:paraId="60ABF50E"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1393C305" w14:textId="6BF5D02B" w:rsidR="00435FAD" w:rsidRDefault="00DE44DA"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456BE5">
              <w:rPr>
                <w:rFonts w:ascii="Cambria" w:eastAsia="Times New Roman" w:hAnsi="Cambria" w:cs="Calibri"/>
                <w:color w:val="000000"/>
                <w:sz w:val="20"/>
                <w:szCs w:val="20"/>
              </w:rPr>
              <w:instrText>ADDIN CSL_CITATION {"citationItems":[{"id":"ITEM-1","itemData":{"DOI":"10.1016/j.orggeochem.2007.11.004","ISSN":"01466380","abstract":"Here we report the abundance and carbon isotopic composition of neo-pentane (or 2,2-dimethylpropane) in Australian natural gases derived from source rocks of Late Proterozoic to Early Tertiary age. In Australian natural gases, neo-pentane abundance is low, ranging from 6 to 295 ppm. The δ13Cneo-pentane shows a strong source control and, together with the other gaseous hydrocarbons, a maturity effect, albeit less pronounced than the source effect. In severely biodegraded natural gases, neo-pentane abundance is similar to that in non-biodegraded gases as a result of a counter balance between preservation of neo-pentane relative to other wet gases and the addition of biogenic methane. Nevertheless, neo-pentane can become the most abundant pentane isomer with neo-pentane/(iso- + n-pentane) ratios up to 9.9. Here, the δ13Cneo-pentane is identical between biodegraded and non-biodegraded natural gas from the same source, providing strong evidence that neo-pentane is resistant to biodegradation, even within severely biodegraded gases where the carbon isotopic composition of all the other gaseous hydrocarbons has been altered. The carbon isotopic composition of neo-pentane ranges from δ13C -50.8 to -24.4‰ VPDB and is typically isotopically more depleted in 13C (up to 9.7‰) than iso-pentane and n-pentane. This wide carbon isotopic variability between the pentane isomers most likely results from the interplay between decomposition, isomerisation and methylation mechanisms for neo-pentane formation. In biodegraded gases the iso-pentane and n-pentane become progressively enriched in 13C, resulting in much larger isotopic differences (Δδ13Cneo-pentane-iso-pentane values of up to -16.6‰). In this paper we show how the carbon isotopic composition of neo-pentane is related to source rock type and age, and demonstrate the usefulness of neo-pentane in gas-gas correlation, particularly in biodegraded accumulations. Crown Copyright © 2007.","author":[{"dropping-particle":"","family":"Boreham","given":"Christopher J.","non-dropping-particle":"","parse-names":false,"suffix":""},{"dropping-particle":"","family":"Edwards","given":"Dianne S.","non-dropping-particle":"","parse-names":false,"suffix":""}],"container-title":"Organic Geochemistry","id":"ITEM-1","issue":"5","issued":{"date-parts":[["2008","5"]]},"page":"550-566","title":"Abundance and carbon isotopic composition of neo-pentane in Australian natural gases","type":"article-journal","volume":"39"},"uris":["http://www.mendeley.com/documents/?uuid=a1578260-1cf9-3fcd-b7ae-190b7b9322ec"]}],"mendeley":{"formattedCitation":"(Boreham and Edwards, 2008)","manualFormatting":"Boreham and Edwards (2008)","plainTextFormattedCitation":"(Boreham and Edwards, 2008)","previouslyFormattedCitation":"(Boreham and Edwards, 2008)"},"properties":{"noteIndex":0},"schema":"https://github.com/citation-style-language/schema/raw/master/csl-citation.json"}</w:instrText>
            </w:r>
            <w:r>
              <w:rPr>
                <w:rFonts w:ascii="Cambria" w:eastAsia="Times New Roman" w:hAnsi="Cambria" w:cs="Calibri"/>
                <w:color w:val="000000"/>
                <w:sz w:val="20"/>
                <w:szCs w:val="20"/>
              </w:rPr>
              <w:fldChar w:fldCharType="separate"/>
            </w:r>
            <w:r w:rsidRPr="00DE44DA">
              <w:rPr>
                <w:rFonts w:ascii="Cambria" w:eastAsia="Times New Roman" w:hAnsi="Cambria" w:cs="Calibri"/>
                <w:noProof/>
                <w:color w:val="000000"/>
                <w:sz w:val="20"/>
                <w:szCs w:val="20"/>
              </w:rPr>
              <w:t xml:space="preserve">Boreham and Edwards </w:t>
            </w:r>
            <w:r>
              <w:rPr>
                <w:rFonts w:ascii="Cambria" w:eastAsia="Times New Roman" w:hAnsi="Cambria" w:cs="Calibri"/>
                <w:noProof/>
                <w:color w:val="000000"/>
                <w:sz w:val="20"/>
                <w:szCs w:val="20"/>
              </w:rPr>
              <w:t>(</w:t>
            </w:r>
            <w:r w:rsidRPr="00DE44DA">
              <w:rPr>
                <w:rFonts w:ascii="Cambria" w:eastAsia="Times New Roman" w:hAnsi="Cambria" w:cs="Calibri"/>
                <w:noProof/>
                <w:color w:val="000000"/>
                <w:sz w:val="20"/>
                <w:szCs w:val="20"/>
              </w:rPr>
              <w:t>2008)</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26AD47E5" w14:textId="2AEB81EB" w:rsidR="00435FAD" w:rsidRDefault="00B61AB1"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Excluded</w:t>
            </w:r>
            <w:r w:rsidR="00DE7CCE">
              <w:rPr>
                <w:rFonts w:ascii="Cambria" w:eastAsia="Times New Roman" w:hAnsi="Cambria" w:cs="Calibri"/>
                <w:color w:val="000000"/>
                <w:sz w:val="20"/>
                <w:szCs w:val="20"/>
              </w:rPr>
              <w:t xml:space="preserve"> due to biodegradation</w:t>
            </w:r>
          </w:p>
        </w:tc>
      </w:tr>
      <w:tr w:rsidR="00DE7CCE" w:rsidRPr="00C44295" w14:paraId="4876F8A5"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71A001EE" w14:textId="55563B12" w:rsidR="00DE7CCE" w:rsidRDefault="00456BE5"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D14499">
              <w:rPr>
                <w:rFonts w:ascii="Cambria" w:eastAsia="Times New Roman" w:hAnsi="Cambria" w:cs="Calibri"/>
                <w:color w:val="000000"/>
                <w:sz w:val="20"/>
                <w:szCs w:val="20"/>
              </w:rPr>
              <w:instrText>ADDIN CSL_CITATION {"citationItems":[{"id":"ITEM-1","itemData":{"DOI":"10.1007/s11430-008-0006-7","ISSN":"10069313","abstract":"By measuring carbon and hydrogen isotope compositions for C1, C2 and C3 of 74 gas samples, natural gases from the Tarim Basin can be divided into six groups on the basis of their origins: (1) coal-type gas derived from coal measures; (2) coal-type gas generated from the T-J lacustrine mudstones; (3) oil-type gas derived from the Cambrian and low Ordovician marine source rocks; (4) oil-type gas from the source rocks deposited in the marine-transitional facies; (5) mixing gas between gas derived from the Carboniferous transitional source rocks and the Mesozoic humic gas, and (6) mixing gases of thermal genetic gas and little deep gas in the Southwest depression of the Tarim Basin. The δ D values of methane in natural gases originating from different type kerogens are affected by both palaeo-environments of the source rock formation (kerogen types) and thermal maturity, with sedimentary environment (kerogen type) as the main controlling factor. Under the similar thermal maturity, the hydrogen isotope composition of methane is more enriched in deuterium in marine environments than lacustrine one. With the increase of thermal maturity and the increase of carbon atomic numbers of gaseous alkanes, the hydrogen isotopes become enriched in deuterium. The δ D values of ethane and propane (δ D2, δ D3) are controlled mainly by thermal maturity and to a lesser degree by sedimentary environment of the source rock formation. The partial reversal of hydrogen isotopes for gaseous alkanes would be related to the microbial oxidation, mixing of sapropelic and humic gases and/or mixing of gases from similar kerogen sources with various thermal maturities. In the oil-type gas, the sulfate reduction reaction would result in the reversed order of δ D1 and δ D2 (e.g. δ D1 &gt;δ D2). © Science in China Press 2008.","author":[{"dropping-particle":"","family":"Liu","given":"Quan You","non-dropping-particle":"","parse-names":false,"suffix":""},{"dropping-particle":"","family":"Dai","given":"Jin Xing","non-dropping-particle":"","parse-names":false,"suffix":""},{"dropping-particle":"","family":"Li","given":"Jian","non-dropping-particle":"","parse-names":false,"suffix":""},{"dropping-particle":"","family":"Zhou","given":"Qing Hua","non-dropping-particle":"","parse-names":false,"suffix":""}],"container-title":"Science in China, Series D: Earth Sciences","id":"ITEM-1","issue":"2","issued":{"date-parts":[["2008","2"]]},"page":"300-311","publisher":"Springer","title":"Hydrogen isotope composition of natural gases from the Tarim Basin and its indication of depositional environments of the source rocks","type":"article-journal","volume":"51"},"uris":["http://www.mendeley.com/documents/?uuid=9cf2d667-74bd-32ac-81cb-29b163b7da31"]}],"mendeley":{"formattedCitation":"(Liu et al., 2008)","manualFormatting":"Liu et al. (2008)","plainTextFormattedCitation":"(Liu et al., 2008)","previouslyFormattedCitation":"(Liu et al., 2008)"},"properties":{"noteIndex":0},"schema":"https://github.com/citation-style-language/schema/raw/master/csl-citation.json"}</w:instrText>
            </w:r>
            <w:r>
              <w:rPr>
                <w:rFonts w:ascii="Cambria" w:eastAsia="Times New Roman" w:hAnsi="Cambria" w:cs="Calibri"/>
                <w:color w:val="000000"/>
                <w:sz w:val="20"/>
                <w:szCs w:val="20"/>
              </w:rPr>
              <w:fldChar w:fldCharType="separate"/>
            </w:r>
            <w:r w:rsidRPr="00456BE5">
              <w:rPr>
                <w:rFonts w:ascii="Cambria" w:eastAsia="Times New Roman" w:hAnsi="Cambria" w:cs="Calibri"/>
                <w:noProof/>
                <w:color w:val="000000"/>
                <w:sz w:val="20"/>
                <w:szCs w:val="20"/>
              </w:rPr>
              <w:t xml:space="preserve">Liu et al. </w:t>
            </w:r>
            <w:r w:rsidR="00D14499">
              <w:rPr>
                <w:rFonts w:ascii="Cambria" w:hAnsi="Cambria" w:cs="Calibri" w:hint="eastAsia"/>
                <w:noProof/>
                <w:color w:val="000000"/>
                <w:sz w:val="20"/>
                <w:szCs w:val="20"/>
              </w:rPr>
              <w:t>(</w:t>
            </w:r>
            <w:r w:rsidRPr="00456BE5">
              <w:rPr>
                <w:rFonts w:ascii="Cambria" w:eastAsia="Times New Roman" w:hAnsi="Cambria" w:cs="Calibri"/>
                <w:noProof/>
                <w:color w:val="000000"/>
                <w:sz w:val="20"/>
                <w:szCs w:val="20"/>
              </w:rPr>
              <w:t>2008)</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2276F3E2" w14:textId="6B312213" w:rsidR="00DE7CCE" w:rsidRDefault="00B61AB1"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Excluded</w:t>
            </w:r>
            <w:r w:rsidR="00C0053C">
              <w:rPr>
                <w:rFonts w:ascii="Cambria" w:eastAsia="Times New Roman" w:hAnsi="Cambria" w:cs="Calibri"/>
                <w:color w:val="000000"/>
                <w:sz w:val="20"/>
                <w:szCs w:val="20"/>
              </w:rPr>
              <w:t xml:space="preserve"> due to </w:t>
            </w:r>
            <w:r w:rsidR="00674D4B">
              <w:rPr>
                <w:rFonts w:ascii="Cambria" w:eastAsia="Times New Roman" w:hAnsi="Cambria" w:cs="Calibri"/>
                <w:color w:val="000000"/>
                <w:sz w:val="20"/>
                <w:szCs w:val="20"/>
              </w:rPr>
              <w:t>thermochemical sulfate reduction (TSR)</w:t>
            </w:r>
          </w:p>
        </w:tc>
      </w:tr>
      <w:tr w:rsidR="00DE7CCE" w:rsidRPr="00C44295" w14:paraId="5FA522DA"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6C5A3F67" w14:textId="44F530B5" w:rsidR="00DE7CCE" w:rsidRDefault="003C7D5F"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D669E2">
              <w:rPr>
                <w:rFonts w:ascii="Cambria" w:eastAsia="Times New Roman" w:hAnsi="Cambria" w:cs="Calibri"/>
                <w:color w:val="000000"/>
                <w:sz w:val="20"/>
                <w:szCs w:val="20"/>
              </w:rPr>
              <w:instrText>ADDIN CSL_CITATION {"citationItems":[{"id":"ITEM-1","itemData":{"DOI":"10.18814/epiiugs/2009/v32i3/003","ISSN":"07053797","abstract":"Although abiogenic hydrocarbons have been found in deep-sourced geofluids, they have not been considered a significant source for global hydrocarbon reservoirs. Here, we report a multi-isotopic (C, H and He) study of gases in the Songliao Basin in China, revealing the existence of a giant abiogenic hydrocarbon field in the buried volcanoes and clastics overlying volcanics in this rift Basin. The progressive carbon isotopic depletion and hydrogen isotopic enrichment trends for C1-C4 n-alkanes and the strong correlation between the carbon, hydrogen and helium isotopic ratios of gases in the buried volcanoes indicate hydrocarbon production by kinetically-controlled polymerization of methane precursors related to mantlederived fluids. Given the common occurrence of buried volcanic structures in rift Basins, there may exist more abiogenic hydrocarbons associated with buried volcanoes in rift Basins that are unrelated to source kitchens than previously thought.","author":[{"dropping-particle":"","family":"Jin","given":"Zhijun","non-dropping-particle":"","parse-names":false,"suffix":""},{"dropping-particle":"","family":"Zhang","given":"Liuping","non-dropping-particle":"","parse-names":false,"suffix":""},{"dropping-particle":"","family":"Wang","given":"Yang","non-dropping-particle":"","parse-names":false,"suffix":""},{"dropping-particle":"","family":"Cui","given":"Yongqiang","non-dropping-particle":"","parse-names":false,"suffix":""},{"dropping-particle":"","family":"Milla","given":"Katherine","non-dropping-particle":"","parse-names":false,"suffix":""}],"container-title":"Episodes","id":"ITEM-1","issue":"3","issued":{"date-parts":[["2009"]]},"page":"167-176","title":"Using carbon, hydrogen and helium isotopes to unravel the origin of hydrocarbons in the wujiaweizi area of the Songliao Basin, China","type":"article-journal","volume":"32"},"uris":["http://www.mendeley.com/documents/?uuid=f9309a49-34aa-3ebe-a195-b07fc67a2971"]}],"mendeley":{"formattedCitation":"(Jin et al., 2009)","manualFormatting":"Jin et al. (2009)","plainTextFormattedCitation":"(Jin et al., 2009)","previouslyFormattedCitation":"(Jin et al., 2009)"},"properties":{"noteIndex":0},"schema":"https://github.com/citation-style-language/schema/raw/master/csl-citation.json"}</w:instrText>
            </w:r>
            <w:r>
              <w:rPr>
                <w:rFonts w:ascii="Cambria" w:eastAsia="Times New Roman" w:hAnsi="Cambria" w:cs="Calibri"/>
                <w:color w:val="000000"/>
                <w:sz w:val="20"/>
                <w:szCs w:val="20"/>
              </w:rPr>
              <w:fldChar w:fldCharType="separate"/>
            </w:r>
            <w:r w:rsidRPr="003C7D5F">
              <w:rPr>
                <w:rFonts w:ascii="Cambria" w:eastAsia="Times New Roman" w:hAnsi="Cambria" w:cs="Calibri"/>
                <w:noProof/>
                <w:color w:val="000000"/>
                <w:sz w:val="20"/>
                <w:szCs w:val="20"/>
              </w:rPr>
              <w:t xml:space="preserve">Jin et al. </w:t>
            </w:r>
            <w:r w:rsidR="00D14499">
              <w:rPr>
                <w:rFonts w:ascii="Cambria" w:eastAsia="Times New Roman" w:hAnsi="Cambria" w:cs="Calibri"/>
                <w:noProof/>
                <w:color w:val="000000"/>
                <w:sz w:val="20"/>
                <w:szCs w:val="20"/>
              </w:rPr>
              <w:t>(</w:t>
            </w:r>
            <w:r w:rsidRPr="003C7D5F">
              <w:rPr>
                <w:rFonts w:ascii="Cambria" w:eastAsia="Times New Roman" w:hAnsi="Cambria" w:cs="Calibri"/>
                <w:noProof/>
                <w:color w:val="000000"/>
                <w:sz w:val="20"/>
                <w:szCs w:val="20"/>
              </w:rPr>
              <w:t>2009)</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5D3F4774" w14:textId="6502F37E" w:rsidR="00DE7CCE" w:rsidRDefault="00B61AB1"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Excluded</w:t>
            </w:r>
            <w:r w:rsidR="003003EE">
              <w:rPr>
                <w:rFonts w:ascii="Cambria" w:eastAsia="Times New Roman" w:hAnsi="Cambria" w:cs="Calibri"/>
                <w:color w:val="000000"/>
                <w:sz w:val="20"/>
                <w:szCs w:val="20"/>
              </w:rPr>
              <w:t xml:space="preserve"> due to the possibility of abiotic </w:t>
            </w:r>
            <w:r w:rsidR="007438AC">
              <w:rPr>
                <w:rFonts w:ascii="Cambria" w:eastAsia="Times New Roman" w:hAnsi="Cambria" w:cs="Calibri"/>
                <w:color w:val="000000"/>
                <w:sz w:val="20"/>
                <w:szCs w:val="20"/>
              </w:rPr>
              <w:t>origin</w:t>
            </w:r>
          </w:p>
        </w:tc>
      </w:tr>
      <w:tr w:rsidR="00DE7CCE" w:rsidRPr="00C117F7" w14:paraId="678AC673"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5E853636" w14:textId="3B4872ED" w:rsidR="00DE7CCE" w:rsidRDefault="00125EC4"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D669E2">
              <w:rPr>
                <w:rFonts w:ascii="Cambria" w:eastAsia="Times New Roman" w:hAnsi="Cambria" w:cs="Calibri"/>
                <w:color w:val="000000"/>
                <w:sz w:val="20"/>
                <w:szCs w:val="20"/>
              </w:rPr>
              <w:instrText>ADDIN CSL_CITATION {"citationItems":[{"id":"ITEM-1","itemData":{"DOI":"10.1016/j.orggeochem.2010.09.008","ISSN":"01466380","abstract":"During studies of unconventional natural gas reservoirs of Silurian and Ordovician age in the northern Appalachian basin we observed complete reversal of the normal trend of carbon isotopic composition, such that δ13C methane (C1) &gt;δ13C ethane (C2) &gt;δ13C propane (C3). In addition, we have observed isotopic reversals in the δ2H in the deepest samples. Isotopic reversals cannot be explained by current models of hydrocarbon gas generation. Previous observations of partial isotopic reversals have been explained by mixing between gases from different sources and thermal maturities. We have constructed a model which, in addition to mixing, requires Rayleigh fractionation of C2 and C3 to cause enrichment in 13C and create reversals. In the deepest samples, the normal trend of increasing enrichment of 13C and 2H in methane with increasing depth reverses and 2H becomes depleted as 13C becomes enriched. We propose that the reactions that drive Rayleigh fractionation of C2 and C3 involve redox reactions with transition metals and water at late stages of catagenesis at temperatures on the order of 250-300°C. Published ab initio calculated fractionation factors for C-C bond breaking in ethane at these temperatures are consistent with our observations. The reversed trend in δ2H in methane appears to be caused by isotopic exchange with formation water at the same temperatures. Our interpretation that Rayleigh fractionation during redox reactions is causing isotopic reversals has important implications for natural gas resources in deeply buried sedimentary basins. © 2010.","author":[{"dropping-particle":"","family":"Burruss","given":"R. C.","non-dropping-particle":"","parse-names":false,"suffix":""},{"dropping-particle":"","family":"Laughrey","given":"C. D.","non-dropping-particle":"","parse-names":false,"suffix":""}],"container-title":"Organic Geochemistry","id":"ITEM-1","issue":"12","issued":{"date-parts":[["2010","12","1"]]},"page":"1285-1296","publisher":"Pergamon","title":"Carbon and hydrogen isotopic reversals in deep basin gas: Evidence for limits to the stability of hydrocarbons","type":"article-journal","volume":"41"},"uris":["http://www.mendeley.com/documents/?uuid=5cce2f45-a1a5-3074-91f4-930b1b9da193"]}],"mendeley":{"formattedCitation":"(Burruss and Laughrey, 2010)","manualFormatting":"Burruss and Laughrey (2010)","plainTextFormattedCitation":"(Burruss and Laughrey, 2010)","previouslyFormattedCitation":"(Burruss and Laughrey, 2010)"},"properties":{"noteIndex":0},"schema":"https://github.com/citation-style-language/schema/raw/master/csl-citation.json"}</w:instrText>
            </w:r>
            <w:r>
              <w:rPr>
                <w:rFonts w:ascii="Cambria" w:eastAsia="Times New Roman" w:hAnsi="Cambria" w:cs="Calibri"/>
                <w:color w:val="000000"/>
                <w:sz w:val="20"/>
                <w:szCs w:val="20"/>
              </w:rPr>
              <w:fldChar w:fldCharType="separate"/>
            </w:r>
            <w:r w:rsidRPr="00125EC4">
              <w:rPr>
                <w:rFonts w:ascii="Cambria" w:eastAsia="Times New Roman" w:hAnsi="Cambria" w:cs="Calibri"/>
                <w:noProof/>
                <w:color w:val="000000"/>
                <w:sz w:val="20"/>
                <w:szCs w:val="20"/>
              </w:rPr>
              <w:t xml:space="preserve">Burruss and Laughrey </w:t>
            </w:r>
            <w:r w:rsidR="00C117F7">
              <w:rPr>
                <w:rFonts w:ascii="Cambria" w:eastAsia="Times New Roman" w:hAnsi="Cambria" w:cs="Calibri"/>
                <w:noProof/>
                <w:color w:val="000000"/>
                <w:sz w:val="20"/>
                <w:szCs w:val="20"/>
              </w:rPr>
              <w:t>(</w:t>
            </w:r>
            <w:r w:rsidRPr="00125EC4">
              <w:rPr>
                <w:rFonts w:ascii="Cambria" w:eastAsia="Times New Roman" w:hAnsi="Cambria" w:cs="Calibri"/>
                <w:noProof/>
                <w:color w:val="000000"/>
                <w:sz w:val="20"/>
                <w:szCs w:val="20"/>
              </w:rPr>
              <w:t>2010)</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377D935A" w14:textId="6BBEA27A" w:rsidR="00DE7CCE" w:rsidRDefault="00125EC4"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Included</w:t>
            </w:r>
          </w:p>
        </w:tc>
      </w:tr>
      <w:tr w:rsidR="00DE7CCE" w:rsidRPr="00C44295" w14:paraId="4D3FD249"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79BDB270" w14:textId="2AEE9274" w:rsidR="00DE7CCE" w:rsidRDefault="004E186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C117F7">
              <w:rPr>
                <w:rFonts w:ascii="Cambria" w:eastAsia="Times New Roman" w:hAnsi="Cambria" w:cs="Calibri"/>
                <w:color w:val="000000"/>
                <w:sz w:val="20"/>
                <w:szCs w:val="20"/>
              </w:rPr>
              <w:instrText>ADDIN CSL_CITATION {"citationItems":[{"id":"ITEM-1","itemData":{"DOI":"10.1306/04061009119","ISSN":"01491423","abstract":"Molecular and isotopic compositions of 51 gas and 7 condensate samples produced from the Barnett Shale were determined by gas chromatography-isotope ratio mass spectrometry to investigate their origin and maturity at the time of generation. Additionally, two hydrous pyrolysis experiments were performed to calibrate maturity values predicted for gas generation. Molecular and carbon and hydrogen isotopic compositions of the gases indicate that gas produced from the Barnett is thermogenic. To estimate generation maturity, additional analyses were performed on the condensates and available core samples. Diamondoid indices combined with vitrinite reflectance (Ro) measurements, isotopic and molecular composition, and hydrous pyrolysis experiments suggest that gas produced from the Barnett Shale was generated within the condensate-wet gas window (1.3-2.0% Ro) at a later stage than hydrocarbons accumulated in shallower reservoirs. The origin of the gas is thermogenic, probably derived from both kerogen cracking and secondary cracking of previously generated nonmigrated hydrocarbons. Additionally, the occurrence of a methane isotope reversal in group 1 gases corroborates that in-situ oil or gas cracking is occurring in the easternmost part of die study area. Copyright ©2010. The American Association of Petroleum Geologists. All rights reserved.","author":[{"dropping-particle":"","family":"Rodriguez","given":"Norelis D.","non-dropping-particle":"","parse-names":false,"suffix":""},{"dropping-particle":"","family":"Paul Philp","given":"R.","non-dropping-particle":"","parse-names":false,"suffix":""}],"container-title":"AAPG Bulletin","id":"ITEM-1","issue":"11","issued":{"date-parts":[["2010","11","1"]]},"page":"1641-1656","publisher":"GeoScienceWorld","title":"Geochemical characterization of gases from the Mississippian Barnett Shale, Fort Worth Basin, Texas","type":"article-journal","volume":"94"},"uris":["http://www.mendeley.com/documents/?uuid=8f183b65-d0ac-3643-b365-311cb413183b"]}],"mendeley":{"formattedCitation":"(Rodriguez and Paul Philp, 2010)","manualFormatting":"Rodriguez and Paul Philp, (2010)","plainTextFormattedCitation":"(Rodriguez and Paul Philp, 2010)","previouslyFormattedCitation":"(Rodriguez and Paul Philp, 2010)"},"properties":{"noteIndex":0},"schema":"https://github.com/citation-style-language/schema/raw/master/csl-citation.json"}</w:instrText>
            </w:r>
            <w:r>
              <w:rPr>
                <w:rFonts w:ascii="Cambria" w:eastAsia="Times New Roman" w:hAnsi="Cambria" w:cs="Calibri"/>
                <w:color w:val="000000"/>
                <w:sz w:val="20"/>
                <w:szCs w:val="20"/>
              </w:rPr>
              <w:fldChar w:fldCharType="separate"/>
            </w:r>
            <w:r w:rsidRPr="004E186C">
              <w:rPr>
                <w:rFonts w:ascii="Cambria" w:eastAsia="Times New Roman" w:hAnsi="Cambria" w:cs="Calibri"/>
                <w:noProof/>
                <w:color w:val="000000"/>
                <w:sz w:val="20"/>
                <w:szCs w:val="20"/>
              </w:rPr>
              <w:t xml:space="preserve">Rodriguez and Paul Philp, </w:t>
            </w:r>
            <w:r w:rsidR="00C117F7">
              <w:rPr>
                <w:rFonts w:ascii="Cambria" w:hAnsi="Cambria" w:cs="Calibri" w:hint="eastAsia"/>
                <w:noProof/>
                <w:color w:val="000000"/>
                <w:sz w:val="20"/>
                <w:szCs w:val="20"/>
              </w:rPr>
              <w:t>(</w:t>
            </w:r>
            <w:r w:rsidRPr="004E186C">
              <w:rPr>
                <w:rFonts w:ascii="Cambria" w:eastAsia="Times New Roman" w:hAnsi="Cambria" w:cs="Calibri"/>
                <w:noProof/>
                <w:color w:val="000000"/>
                <w:sz w:val="20"/>
                <w:szCs w:val="20"/>
              </w:rPr>
              <w:t>2010)</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7D735990" w14:textId="58E21393" w:rsidR="00DE7CCE" w:rsidRDefault="004E186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Included</w:t>
            </w:r>
          </w:p>
        </w:tc>
      </w:tr>
      <w:tr w:rsidR="00CB4EEC" w:rsidRPr="00C44295" w14:paraId="1067FDF1"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6335C46A" w14:textId="40D05836" w:rsidR="00CB4EEC" w:rsidRDefault="00CB4EE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222220">
              <w:rPr>
                <w:rFonts w:ascii="Cambria" w:eastAsia="Times New Roman" w:hAnsi="Cambria" w:cs="Calibri"/>
                <w:color w:val="000000"/>
                <w:sz w:val="20"/>
                <w:szCs w:val="20"/>
              </w:rPr>
              <w:instrText>ADDIN CSL_CITATION {"citationItems":[{"id":"ITEM-1","itemData":{"DOI":"10.1016/j.orggeochem.2011.10.006","ISSN":"01466380","abstract":"The compound specific hydrogen and carbon stable isotope ratios of alkanes in natural gases from the Xujiahe and Jurassic formations in the western Sichuan Basin were investigated to distinguish between coal-derived and oil-associated gases. All gases were determined to be coal-derived and sourced from the Xujiahe Formation. Thermal maturities of the source rocks are expected to vary from 0.8-1.8% vitrinite reflectance (%R o) according to the empirical relationship between the measured δ 13C CH4 values and % R o, which is within the scope of the maturities of source rocks (0.7-2.1%). In particular, C 1-3 alkanes of primary coal-derived gases which have not undergone any secondary alteration become more enriched in deuterium with increasing molecular mass and the δD CH4 values increase with increasing thermal maturity of source rocks. In the Sichuan Basin, δD values of coal-derived gases sourced from terrigenous source rocks of the Xujiahe Formation are more negative than those of oil-associated gases sourced from marine organic matter of the Sinian, Permian and Triassic formations. © 2011 Elsevier Ltd.","author":[{"dropping-particle":"","family":"Dai","given":"Jinxing","non-dropping-particle":"","parse-names":false,"suffix":""},{"dropping-particle":"","family":"Ni","given":"Yunyan","non-dropping-particle":"","parse-names":false,"suffix":""},{"dropping-particle":"","family":"Zou","given":"Caineng","non-dropping-particle":"","parse-names":false,"suffix":""}],"container-title":"Organic Geochemistry","id":"ITEM-1","issue":"January","issued":{"date-parts":[["2012","2"]]},"page":"103-111","title":"Stable carbon and hydrogen isotopes of natural gases sourced from the Xujiahe Formation in the Sichuan Basin, China","type":"article-journal","volume":"43"},"uris":["http://www.mendeley.com/documents/?uuid=e5e64456-acd0-4fb3-abed-ec7f6fa7334e"]}],"mendeley":{"formattedCitation":"(Dai et al., 2012)","manualFormatting":"Dai et al. (2012)","plainTextFormattedCitation":"(Dai et al., 2012)","previouslyFormattedCitation":"(Dai et al., 2012)"},"properties":{"noteIndex":0},"schema":"https://github.com/citation-style-language/schema/raw/master/csl-citation.json"}</w:instrText>
            </w:r>
            <w:r>
              <w:rPr>
                <w:rFonts w:ascii="Cambria" w:eastAsia="Times New Roman" w:hAnsi="Cambria" w:cs="Calibri"/>
                <w:color w:val="000000"/>
                <w:sz w:val="20"/>
                <w:szCs w:val="20"/>
              </w:rPr>
              <w:fldChar w:fldCharType="separate"/>
            </w:r>
            <w:r w:rsidRPr="00CB4EEC">
              <w:rPr>
                <w:rFonts w:ascii="Cambria" w:eastAsia="Times New Roman" w:hAnsi="Cambria" w:cs="Calibri"/>
                <w:noProof/>
                <w:color w:val="000000"/>
                <w:sz w:val="20"/>
                <w:szCs w:val="20"/>
              </w:rPr>
              <w:t xml:space="preserve">Dai et al. </w:t>
            </w:r>
            <w:r w:rsidR="00222220">
              <w:rPr>
                <w:rFonts w:ascii="Cambria" w:hAnsi="Cambria" w:cs="Calibri" w:hint="eastAsia"/>
                <w:noProof/>
                <w:color w:val="000000"/>
                <w:sz w:val="20"/>
                <w:szCs w:val="20"/>
              </w:rPr>
              <w:t>(</w:t>
            </w:r>
            <w:r w:rsidRPr="00CB4EEC">
              <w:rPr>
                <w:rFonts w:ascii="Cambria" w:eastAsia="Times New Roman" w:hAnsi="Cambria" w:cs="Calibri"/>
                <w:noProof/>
                <w:color w:val="000000"/>
                <w:sz w:val="20"/>
                <w:szCs w:val="20"/>
              </w:rPr>
              <w:t>2012)</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20BD11FE" w14:textId="4A8D4CED" w:rsidR="00CB4EEC" w:rsidRDefault="00CB4EE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Included</w:t>
            </w:r>
          </w:p>
        </w:tc>
      </w:tr>
      <w:tr w:rsidR="00CB4EEC" w:rsidRPr="00C44295" w14:paraId="0F0DBE47"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59DF12CA" w14:textId="16B1BC35" w:rsidR="00CB4EEC" w:rsidRDefault="00CB4EE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fldChar w:fldCharType="begin" w:fldLock="1"/>
            </w:r>
            <w:r w:rsidR="00D669E2">
              <w:rPr>
                <w:rFonts w:ascii="Cambria" w:eastAsia="Times New Roman" w:hAnsi="Cambria" w:cs="Calibri"/>
                <w:color w:val="000000"/>
                <w:sz w:val="20"/>
                <w:szCs w:val="20"/>
              </w:rPr>
              <w:instrText>ADDIN CSL_CITATION {"citationItems":[{"id":"ITEM-1","itemData":{"DOI":"10.1007/s11430-013-4701-7","ISSN":"18691897","abstract":"By the end of the year 2010, a total of 15 large tight gas fields have been found in China, located in the Ordos, Sichuan, and Tarim basins. The annual production and total reserves of these fields in 2010 were 222.5×108 and 28657×108 m3, respectively, accounting for 23.5% and 37.3%, respectively, of the total annual production and reserves of natural gases in China. They took a major part of all natural gas production and reserves in China. According to the analyses of 81 gas samples, the stable carbon and hydrogen isotopic compositions of tight gases in China have following characteristics: (1) Plots of δ13C1-δ13C2-δ13C3, δ13C1-C1/C2+3 and δ13C1-δ13C2 demonstrate the coal-derived origin of tight gases in China; (2) For the primary alkane gases, both carbon and hydrogen isotopic values increase with increasing molecular mass, i.e., δ13C1&lt;δ13C2&lt;δ13C3&lt;δ13C4 and δ2H1&lt;δ2H2&lt;δ2H3; (3) The isotopic differences of δ13C2-δ13C1, δ13C3-δ13C1, δ2H2-δ2H1 and δ2H3-δ2H1 decrease with increasing Ro (%) and C1/C1−4; (4) There are seven causes for the carbon and hydrogen isotopic reversal, however, the carbon and hydrogen isotopic reversal of tight gases in China is caused mainly by multiple stages of gas charge and accumulation.","author":[{"dropping-particle":"","family":"Dai","given":"Jin Xing","non-dropping-particle":"","parse-names":false,"suffix":""},{"dropping-particle":"","family":"Ni","given":"Yun Yan","non-dropping-particle":"","parse-names":false,"suffix":""},{"dropping-particle":"","family":"Hu","given":"Guo Yi","non-dropping-particle":"","parse-names":false,"suffix":""},{"dropping-particle":"","family":"Huang","given":"Shi Peng","non-dropping-particle":"","parse-names":false,"suffix":""},{"dropping-particle":"","family":"Liao","given":"Feng Rong","non-dropping-particle":"","parse-names":false,"suffix":""},{"dropping-particle":"","family":"Yu","given":"Cong","non-dropping-particle":"","parse-names":false,"suffix":""},{"dropping-particle":"","family":"Gong","given":"De Yu","non-dropping-particle":"","parse-names":false,"suffix":""},{"dropping-particle":"","family":"Wu","given":"Wei","non-dropping-particle":"","parse-names":false,"suffix":""}],"container-title":"Science China Earth Sciences","id":"ITEM-1","issue":"1","issued":{"date-parts":[["2014","1","1"]]},"page":"88-103","publisher":"Science in China Press","title":"Stable carbon and hydrogen isotopes of gases from the large tight gas fields in China","type":"article-journal","volume":"57"},"uris":["http://www.mendeley.com/documents/?uuid=04dc88e8-cabc-32ef-8824-b60d15879c72"]}],"mendeley":{"formattedCitation":"(Dai et al., 2014)","manualFormatting":"Dai et al. (2014)","plainTextFormattedCitation":"(Dai et al., 2014)","previouslyFormattedCitation":"(Dai et al., 2014)"},"properties":{"noteIndex":0},"schema":"https://github.com/citation-style-language/schema/raw/master/csl-citation.json"}</w:instrText>
            </w:r>
            <w:r>
              <w:rPr>
                <w:rFonts w:ascii="Cambria" w:eastAsia="Times New Roman" w:hAnsi="Cambria" w:cs="Calibri"/>
                <w:color w:val="000000"/>
                <w:sz w:val="20"/>
                <w:szCs w:val="20"/>
              </w:rPr>
              <w:fldChar w:fldCharType="separate"/>
            </w:r>
            <w:r w:rsidRPr="00CB4EEC">
              <w:rPr>
                <w:rFonts w:ascii="Cambria" w:eastAsia="Times New Roman" w:hAnsi="Cambria" w:cs="Calibri"/>
                <w:noProof/>
                <w:color w:val="000000"/>
                <w:sz w:val="20"/>
                <w:szCs w:val="20"/>
              </w:rPr>
              <w:t xml:space="preserve">Dai et al. </w:t>
            </w:r>
            <w:r w:rsidR="00222220">
              <w:rPr>
                <w:rFonts w:ascii="Cambria" w:eastAsia="Times New Roman" w:hAnsi="Cambria" w:cs="Calibri"/>
                <w:noProof/>
                <w:color w:val="000000"/>
                <w:sz w:val="20"/>
                <w:szCs w:val="20"/>
              </w:rPr>
              <w:t>(</w:t>
            </w:r>
            <w:r w:rsidRPr="00CB4EEC">
              <w:rPr>
                <w:rFonts w:ascii="Cambria" w:eastAsia="Times New Roman" w:hAnsi="Cambria" w:cs="Calibri"/>
                <w:noProof/>
                <w:color w:val="000000"/>
                <w:sz w:val="20"/>
                <w:szCs w:val="20"/>
              </w:rPr>
              <w:t>2014)</w:t>
            </w:r>
            <w:r>
              <w:rPr>
                <w:rFonts w:ascii="Cambria" w:eastAsia="Times New Roman"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5DE0AB05" w14:textId="397560C2" w:rsidR="00CB4EEC" w:rsidRDefault="00CB4EE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 xml:space="preserve">Partially </w:t>
            </w:r>
            <w:r w:rsidR="00B61AB1">
              <w:rPr>
                <w:rFonts w:ascii="Cambria" w:eastAsia="Times New Roman" w:hAnsi="Cambria" w:cs="Calibri"/>
                <w:color w:val="000000"/>
                <w:sz w:val="20"/>
                <w:szCs w:val="20"/>
              </w:rPr>
              <w:t>excluded</w:t>
            </w:r>
            <w:r>
              <w:rPr>
                <w:rFonts w:ascii="Cambria" w:eastAsia="Times New Roman" w:hAnsi="Cambria" w:cs="Calibri"/>
                <w:color w:val="000000"/>
                <w:sz w:val="20"/>
                <w:szCs w:val="20"/>
              </w:rPr>
              <w:t xml:space="preserve"> – some samples from the Sichuan Basin have the sample ID as Dai et al.</w:t>
            </w:r>
            <w:r w:rsidR="00C779BF">
              <w:rPr>
                <w:rFonts w:ascii="Cambria" w:eastAsia="Times New Roman" w:hAnsi="Cambria" w:cs="Calibri"/>
                <w:color w:val="000000"/>
                <w:sz w:val="20"/>
                <w:szCs w:val="20"/>
              </w:rPr>
              <w:t>,</w:t>
            </w:r>
            <w:r>
              <w:rPr>
                <w:rFonts w:ascii="Cambria" w:eastAsia="Times New Roman" w:hAnsi="Cambria" w:cs="Calibri"/>
                <w:color w:val="000000"/>
                <w:sz w:val="20"/>
                <w:szCs w:val="20"/>
              </w:rPr>
              <w:t xml:space="preserve"> (2012)</w:t>
            </w:r>
          </w:p>
        </w:tc>
      </w:tr>
      <w:tr w:rsidR="00CB4EEC" w:rsidRPr="00C44295" w14:paraId="4F270871"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161F08A6" w14:textId="6479F36F" w:rsidR="00CB4EEC" w:rsidRPr="00222220" w:rsidRDefault="00D669E2" w:rsidP="00A26F24">
            <w:pPr>
              <w:spacing w:after="0" w:line="240" w:lineRule="auto"/>
              <w:jc w:val="center"/>
              <w:rPr>
                <w:rFonts w:ascii="Cambria" w:hAnsi="Cambria" w:cs="Calibri"/>
                <w:color w:val="000000"/>
                <w:sz w:val="20"/>
                <w:szCs w:val="20"/>
              </w:rPr>
            </w:pPr>
            <w:r>
              <w:rPr>
                <w:rFonts w:ascii="Cambria" w:hAnsi="Cambria" w:cs="Calibri"/>
                <w:color w:val="000000"/>
                <w:sz w:val="20"/>
                <w:szCs w:val="20"/>
              </w:rPr>
              <w:fldChar w:fldCharType="begin" w:fldLock="1"/>
            </w:r>
            <w:r w:rsidR="00E66B0C">
              <w:rPr>
                <w:rFonts w:ascii="Cambria" w:hAnsi="Cambria" w:cs="Calibri"/>
                <w:color w:val="000000"/>
                <w:sz w:val="20"/>
                <w:szCs w:val="20"/>
              </w:rPr>
              <w:instrText>ADDIN CSL_CITATION {"citationItems":[{"id":"ITEM-1","itemData":{"DOI":"10.1016/j.coal.2015.07.003","ISSN":"01665162","abstract":"Natural gases from the Qiudong and Hongtai gas fields in the Taibei sag in the Turpan-Hami Basin of China were analyzed for stable hydrogen and carbon isotopic characteristics, to investigate the origin of the gas and the gas-source correlation. Natural gases from the two gas fields are dominated by alkane gases with methane content varying from 81.61% to 92.57%. Dryness ranges from 0.76 to 0.93, indicating an abundance of wet gas. The carbon and hydrogen isotopic compositions of the methane vary from -39.8‰ to -42.6‰ and from -263‰ to -279‰ in the Qiudong gas field, respectively, and from -37.7‰ to -39.0‰ and from -250‰ to -257‰ in the Hongtai gas field, respectively. All gases have a characteristic carbon and hydrogen isotopic distribution pattern among the C1-C5 alkanes, in which δ13CCH4&lt;δ13CC2H6&lt;δ13CC3H8&lt;δ13CC4H10&lt;δ13CC5H12 and δ2HCH4&lt;δ2HC2H6&lt;δ2HC3H8. Both the stable carbon and hydrogen isotopic compositions of the gases and the hydrogen isotopic value of the formation water suggest that gases in the two gas fields are coal-derived without admixtures with gases of other origin. According to the calculation with empirical δ13CCH4-Ro% relationship, the thermal maturity (vitrinite reflectance Ro%) of the source rocks is up to 0.76% in the Qiudong area and up to 0.86% in the Hongtai area, which are in the oil window and approaching the start of major thermogenesis at the top of the maturity range. Since the gases in the Hongtai gas field are relatively more enriched in 13C and 2H, combined with the local geological thermal evolution history, it is concluded that the gases in the two gas fields were derived from the Lower Jurassic Badaowan source rocks. The heavier hydrogen and carbon isotopes of the gases from the Hongtai gas field are interpreted as a product of higher thermal maturity of the source rocks. This is in consistent with the thermal maturity of the local source rocks. The modern thermal maturity of the top of the Badaowan Formation is around 0.8% in the Qiudong area and around 1.0% in the Hongtai area. The combined use of both carbon and hydrogen isotopes is of high value in providing information on gas origin and gas-source correlation, which will be very useful for future gas exploration.","author":[{"dropping-particle":"","family":"Ni","given":"Yunyan","non-dropping-particle":"","parse-names":false,"suffix":""},{"dropping-particle":"","family":"Zhang","given":"Dijia","non-dropping-particle":"","parse-names":false,"suffix":""},{"dropping-particle":"","family":"Liao","given":"Fengrong","non-dropping-particle":"","parse-names":false,"suffix":""},{"dropping-particle":"","family":"Gong","given":"Deyu","non-dropping-particle":"","parse-names":false,"suffix":""},{"dropping-particle":"","family":"Xue","given":"Ping","non-dropping-particle":"","parse-names":false,"suffix":""},{"dropping-particle":"","family":"Yu","given":"Fei","non-dropping-particle":"","parse-names":false,"suffix":""},{"dropping-particle":"","family":"Yu","given":"Jingzhi","non-dropping-particle":"","parse-names":false,"suffix":""},{"dropping-particle":"","family":"Chen","given":"Jianping","non-dropping-particle":"","parse-names":false,"suffix":""},{"dropping-particle":"","family":"Zhao","given":"Changyi","non-dropping-particle":"","parse-names":false,"suffix":""},{"dropping-particle":"","family":"Hu","given":"Jian","non-dropping-particle":"","parse-names":false,"suffix":""},{"dropping-particle":"","family":"Jin","given":"Ying","non-dropping-particle":"","parse-names":false,"suffix":""}],"container-title":"International Journal of Coal Geology","id":"ITEM-1","issued":{"date-parts":[["2015","11","1"]]},"page":"144-155","publisher":"Elsevier","title":"Stable hydrogen and carbon isotopic ratios of coal-derived gases from the Turpan-Hami Basin, NW China","type":"article-journal","volume":"152"},"uris":["http://www.mendeley.com/documents/?uuid=982f02af-024a-3f26-9d67-42ea8386bb25"]}],"mendeley":{"formattedCitation":"(Ni et al., 2015)","manualFormatting":"Ni et al. (2015)","plainTextFormattedCitation":"(Ni et al., 2015)","previouslyFormattedCitation":"(Ni et al., 2015)"},"properties":{"noteIndex":0},"schema":"https://github.com/citation-style-language/schema/raw/master/csl-citation.json"}</w:instrText>
            </w:r>
            <w:r>
              <w:rPr>
                <w:rFonts w:ascii="Cambria" w:hAnsi="Cambria" w:cs="Calibri"/>
                <w:color w:val="000000"/>
                <w:sz w:val="20"/>
                <w:szCs w:val="20"/>
              </w:rPr>
              <w:fldChar w:fldCharType="separate"/>
            </w:r>
            <w:r w:rsidRPr="00D669E2">
              <w:rPr>
                <w:rFonts w:ascii="Cambria" w:hAnsi="Cambria" w:cs="Calibri"/>
                <w:noProof/>
                <w:color w:val="000000"/>
                <w:sz w:val="20"/>
                <w:szCs w:val="20"/>
              </w:rPr>
              <w:t xml:space="preserve">Ni et al. </w:t>
            </w:r>
            <w:r w:rsidR="0030288C">
              <w:rPr>
                <w:rFonts w:ascii="Cambria" w:hAnsi="Cambria" w:cs="Calibri"/>
                <w:noProof/>
                <w:color w:val="000000"/>
                <w:sz w:val="20"/>
                <w:szCs w:val="20"/>
              </w:rPr>
              <w:t>(</w:t>
            </w:r>
            <w:r w:rsidRPr="00D669E2">
              <w:rPr>
                <w:rFonts w:ascii="Cambria" w:hAnsi="Cambria" w:cs="Calibri"/>
                <w:noProof/>
                <w:color w:val="000000"/>
                <w:sz w:val="20"/>
                <w:szCs w:val="20"/>
              </w:rPr>
              <w:t>2015)</w:t>
            </w:r>
            <w:r>
              <w:rPr>
                <w:rFonts w:ascii="Cambria"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3F9B981B" w14:textId="661730F0" w:rsidR="00CB4EEC" w:rsidRDefault="00D669E2"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Included</w:t>
            </w:r>
          </w:p>
        </w:tc>
      </w:tr>
      <w:tr w:rsidR="00B61AB1" w:rsidRPr="00C44295" w14:paraId="24B92713"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60D4547E" w14:textId="489CECB8" w:rsidR="00B61AB1" w:rsidRDefault="00B61AB1" w:rsidP="00A26F24">
            <w:pPr>
              <w:spacing w:after="0" w:line="240" w:lineRule="auto"/>
              <w:jc w:val="center"/>
              <w:rPr>
                <w:rFonts w:ascii="Cambria" w:hAnsi="Cambria" w:cs="Calibri"/>
                <w:color w:val="000000"/>
                <w:sz w:val="20"/>
                <w:szCs w:val="20"/>
              </w:rPr>
            </w:pPr>
            <w:r>
              <w:rPr>
                <w:rFonts w:ascii="Cambria" w:hAnsi="Cambria" w:cs="Calibri"/>
                <w:color w:val="000000"/>
                <w:sz w:val="20"/>
                <w:szCs w:val="20"/>
              </w:rPr>
              <w:fldChar w:fldCharType="begin" w:fldLock="1"/>
            </w:r>
            <w:r>
              <w:rPr>
                <w:rFonts w:ascii="Cambria" w:hAnsi="Cambria" w:cs="Calibri"/>
                <w:color w:val="000000"/>
                <w:sz w:val="20"/>
                <w:szCs w:val="20"/>
              </w:rPr>
              <w:instrText>ADDIN CSL_CITATION {"citationItems":[{"id":"ITEM-1","itemData":{"DOI":"10.1016/j.orggeochem.2015.03.010","ISSN":"01466380","abstract":"The hydrogen isotope composition of methane is an important parameter in natural gas research and provides complementary information to that provided by carbon isotopes. The stable hydrogen isotope ratios of 313 natural gas samples from six of China's sedimentary basins are used to evaluate the factors that influence the stable hydrogen isotopic composition of methane. An important factor is the δD of organic matter in hydrocarbon source rocks, which is influenced by the sedimentary environment and type of organic matter. Natural gases generated from sapropelic organic matter have relatively less negative δDCH4, while natural gases generated from humic organic matter have relatively more negative δDCH4. The other factor is thermal maturity. Increased thermal maturity leads to δDCH4 becoming less negative and there exists a two stage linear relationship between the δDCH4 and the logarithm of the vitrinite reflectance (. Ro) value for natural gases generated from type III kerogen. The third factor is the environmental conditions of the aqueous medium in the original depositional environment and after sedimentation. Elemental hydrogen from water participates in biochemical processes as organisms grow and is exchanged during the sedimentation and diagenesis of organic matter as well as maturity process of kerogen to generate gases. The influence of the aqueous medium on δDCH4 after formation of natural gases can be ignored. Among these factors, the aqueous medium is the key constraining factor. The δDCH4 in natural gases can be combined with the use of stable carbon isotopic composition to identify the origins of natural gases and to aid gas-source correlations.","author":[{"dropping-particle":"","family":"Wang","given":"Xiaofeng","non-dropping-particle":"","parse-names":false,"suffix":""},{"dropping-particle":"","family":"Liu","given":"Wenhui","non-dropping-particle":"","parse-names":false,"suffix":""},{"dropping-particle":"","family":"Shi","given":"Baoguang","non-dropping-particle":"","parse-names":false,"suffix":""},{"dropping-particle":"","family":"Zhang","given":"Zhongning","non-dropping-particle":"","parse-names":false,"suffix":""},{"dropping-particle":"","family":"Xu","given":"Yongchang","non-dropping-particle":"","parse-names":false,"suffix":""},{"dropping-particle":"","family":"Zheng","given":"Jianjing","non-dropping-particle":"","parse-names":false,"suffix":""}],"container-title":"Organic Geochemistry","id":"ITEM-1","issued":{"date-parts":[["2015","6","1"]]},"page":"178-189","publisher":"Elsevier Ltd","title":"Hydrogen isotope characteristics of thermogenic methane in Chinese sedimentary basins","type":"article-journal","volume":"83-84"},"uris":["http://www.mendeley.com/documents/?uuid=50dae91f-4e48-32b8-9055-733ad98ea995"]}],"mendeley":{"formattedCitation":"(Wang et al., 2015)","manualFormatting":"Wang et al. (2015)","plainTextFormattedCitation":"(Wang et al., 2015)","previouslyFormattedCitation":"(Wang et al., 2015)"},"properties":{"noteIndex":0},"schema":"https://github.com/citation-style-language/schema/raw/master/csl-citation.json"}</w:instrText>
            </w:r>
            <w:r>
              <w:rPr>
                <w:rFonts w:ascii="Cambria" w:hAnsi="Cambria" w:cs="Calibri"/>
                <w:color w:val="000000"/>
                <w:sz w:val="20"/>
                <w:szCs w:val="20"/>
              </w:rPr>
              <w:fldChar w:fldCharType="separate"/>
            </w:r>
            <w:r w:rsidRPr="00B61AB1">
              <w:rPr>
                <w:rFonts w:ascii="Cambria" w:hAnsi="Cambria" w:cs="Calibri"/>
                <w:noProof/>
                <w:color w:val="000000"/>
                <w:sz w:val="20"/>
                <w:szCs w:val="20"/>
              </w:rPr>
              <w:t xml:space="preserve">Wang et al. </w:t>
            </w:r>
            <w:r>
              <w:rPr>
                <w:rFonts w:ascii="Cambria" w:hAnsi="Cambria" w:cs="Calibri"/>
                <w:noProof/>
                <w:color w:val="000000"/>
                <w:sz w:val="20"/>
                <w:szCs w:val="20"/>
              </w:rPr>
              <w:t>(</w:t>
            </w:r>
            <w:r w:rsidRPr="00B61AB1">
              <w:rPr>
                <w:rFonts w:ascii="Cambria" w:hAnsi="Cambria" w:cs="Calibri"/>
                <w:noProof/>
                <w:color w:val="000000"/>
                <w:sz w:val="20"/>
                <w:szCs w:val="20"/>
              </w:rPr>
              <w:t>2015)</w:t>
            </w:r>
            <w:r>
              <w:rPr>
                <w:rFonts w:ascii="Cambria"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4CBA5E1C" w14:textId="063C92B0" w:rsidR="00B61AB1" w:rsidRDefault="00B61AB1"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Partially excluded to avoid over-representation of the Sichuan Basin, Ordos Basin and Turpan-Hami Basin (as they have been presented in earlier studies)</w:t>
            </w:r>
          </w:p>
        </w:tc>
      </w:tr>
      <w:tr w:rsidR="007A4F1A" w:rsidRPr="00C44295" w14:paraId="367F2D10"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13313714" w14:textId="39D0DED8" w:rsidR="007A4F1A" w:rsidRDefault="00B61AB1" w:rsidP="00A26F24">
            <w:pPr>
              <w:spacing w:after="0" w:line="240" w:lineRule="auto"/>
              <w:jc w:val="center"/>
              <w:rPr>
                <w:rFonts w:ascii="Cambria" w:hAnsi="Cambria" w:cs="Calibri"/>
                <w:color w:val="000000"/>
                <w:sz w:val="20"/>
                <w:szCs w:val="20"/>
              </w:rPr>
            </w:pPr>
            <w:r>
              <w:rPr>
                <w:rFonts w:ascii="Cambria" w:hAnsi="Cambria" w:cs="Calibri"/>
                <w:color w:val="000000"/>
                <w:sz w:val="20"/>
                <w:szCs w:val="20"/>
              </w:rPr>
              <w:fldChar w:fldCharType="begin" w:fldLock="1"/>
            </w:r>
            <w:r>
              <w:rPr>
                <w:rFonts w:ascii="Cambria" w:hAnsi="Cambria" w:cs="Calibri"/>
                <w:color w:val="000000"/>
                <w:sz w:val="20"/>
                <w:szCs w:val="20"/>
              </w:rPr>
              <w:instrText>ADDIN CSL_CITATION {"citationItems":[{"id":"ITEM-1","itemData":{"DOI":"10.1016/j.coal.2017.05.018","ISSN":"01665162","abstract":"Fractionation of chemical components and hydrogen/carbon isotopic compositions associated with biodegradation of shale gases were determined from typical shale profiles of the Upper Triassic Yanchang Formation, Ordos Basin, China. The results show that the light hydrocarbons (C1–C5) of the shale gases were partially degraded by microorganisms and the degradation degree decreased with depth in the profile of Well YY22. However, the degradation degree of Wells FY2 is basically unchanging at different depths and there is no obvious evidence for biodegradation in Well YY18. Biodegradation of C1 and C2 can occur and the degradation of hydrocarbon gas does not occur in any obvious sequence, but instead there are only small differences between the relative degradation rates. The relative degradation rates in descending sequence were C3 = n-C4 = n-C5 &gt; i-C5 = i-C4 &gt; C2 &gt; C1. With intensification of degradation, δ13C1 of shale gas showed no obvious change, whereas a marked alteration took place in δ2HC1. The δ13C values of C3 and n-C4 did not alter significantly during early biodegradation; thus, use of exceptional heavy isotopic compositions of those two components to recognize moderate levels of biodegradation is limited. In contrast, the δ13C and δ2H values of C2 became more positive even at a low degree of biodegradation; hence, these are effective parameters for identifying biodegraded gases with a low degree of degradation. No obvious change of isotopic composition was observed for the n-C5 and i-C5 during degradation. Due to the low relative degradation rates but high content of C1 and C2, biodegradation of C1 and C2 will severely destroy and decrease the gas content of shale gas. There is a positive relationship between gas content and total organic carbon (TOC) of shale samples without biodegradation. In contrast, samples that have experienced biodegradation show an obvious decrease in gas content with TOC.","author":[{"dropping-particle":"","family":"Meng","given":"Qiang","non-dropping-particle":"","parse-names":false,"suffix":""},{"dropping-particle":"","family":"Wang","given":"Xiaofeng","non-dropping-particle":"","parse-names":false,"suffix":""},{"dropping-particle":"","family":"Wang","given":"Xiangzeng","non-dropping-particle":"","parse-names":false,"suffix":""},{"dropping-particle":"","family":"Shi","given":"Baoguang","non-dropping-particle":"","parse-names":false,"suffix":""},{"dropping-particle":"","family":"Luo","given":"Xiaorong","non-dropping-particle":"","parse-names":false,"suffix":""},{"dropping-particle":"","family":"Zhang","given":"Lixia","non-dropping-particle":"","parse-names":false,"suffix":""},{"dropping-particle":"","family":"Lei","given":"Yuhong","non-dropping-particle":"","parse-names":false,"suffix":""},{"dropping-particle":"","family":"Jiang","given":"Chengfu","non-dropping-particle":"","parse-names":false,"suffix":""},{"dropping-particle":"","family":"Liu","given":"Peng","non-dropping-particle":"","parse-names":false,"suffix":""}],"container-title":"International Journal of Coal Geology","id":"ITEM-1","issued":{"date-parts":[["2017","6","15"]]},"page":"139-152","publisher":"Elsevier B.V.","title":"Gas geochemical evidences for biodegradation of shale gases in the Upper Triassic Yanchang Formation, Ordos Basin, China","type":"article-journal","volume":"179"},"uris":["http://www.mendeley.com/documents/?uuid=53243272-c1b9-3dd3-8f20-0f508bc8258a"]}],"mendeley":{"formattedCitation":"(Meng et al., 2017)","manualFormatting":"Meng et al. (2017)","plainTextFormattedCitation":"(Meng et al., 2017)","previouslyFormattedCitation":"(Meng et al., 2017)"},"properties":{"noteIndex":0},"schema":"https://github.com/citation-style-language/schema/raw/master/csl-citation.json"}</w:instrText>
            </w:r>
            <w:r>
              <w:rPr>
                <w:rFonts w:ascii="Cambria" w:hAnsi="Cambria" w:cs="Calibri"/>
                <w:color w:val="000000"/>
                <w:sz w:val="20"/>
                <w:szCs w:val="20"/>
              </w:rPr>
              <w:fldChar w:fldCharType="separate"/>
            </w:r>
            <w:r w:rsidRPr="00B61AB1">
              <w:rPr>
                <w:rFonts w:ascii="Cambria" w:hAnsi="Cambria" w:cs="Calibri"/>
                <w:noProof/>
                <w:color w:val="000000"/>
                <w:sz w:val="20"/>
                <w:szCs w:val="20"/>
              </w:rPr>
              <w:t xml:space="preserve">Meng et al. </w:t>
            </w:r>
            <w:r>
              <w:rPr>
                <w:rFonts w:ascii="Cambria" w:hAnsi="Cambria" w:cs="Calibri" w:hint="eastAsia"/>
                <w:noProof/>
                <w:color w:val="000000"/>
                <w:sz w:val="20"/>
                <w:szCs w:val="20"/>
              </w:rPr>
              <w:t>(</w:t>
            </w:r>
            <w:r w:rsidRPr="00B61AB1">
              <w:rPr>
                <w:rFonts w:ascii="Cambria" w:hAnsi="Cambria" w:cs="Calibri"/>
                <w:noProof/>
                <w:color w:val="000000"/>
                <w:sz w:val="20"/>
                <w:szCs w:val="20"/>
              </w:rPr>
              <w:t>2017)</w:t>
            </w:r>
            <w:r>
              <w:rPr>
                <w:rFonts w:ascii="Cambria"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621ABADA" w14:textId="3BADE4BC" w:rsidR="007A4F1A" w:rsidRPr="00B61AB1" w:rsidRDefault="00B61AB1" w:rsidP="00A26F24">
            <w:pPr>
              <w:spacing w:after="0" w:line="240" w:lineRule="auto"/>
              <w:jc w:val="center"/>
              <w:rPr>
                <w:rFonts w:ascii="Cambria" w:hAnsi="Cambria" w:cs="Calibri"/>
                <w:color w:val="000000"/>
                <w:sz w:val="20"/>
                <w:szCs w:val="20"/>
              </w:rPr>
            </w:pPr>
            <w:r>
              <w:rPr>
                <w:rFonts w:ascii="Cambria" w:eastAsia="Times New Roman" w:hAnsi="Cambria" w:cs="Calibri"/>
                <w:color w:val="000000"/>
                <w:sz w:val="20"/>
                <w:szCs w:val="20"/>
              </w:rPr>
              <w:t>Excluded due to biodegradation</w:t>
            </w:r>
          </w:p>
        </w:tc>
      </w:tr>
      <w:tr w:rsidR="00E66B0C" w:rsidRPr="00C44295" w14:paraId="03788D6B"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73331D7E" w14:textId="10BCED20" w:rsidR="00E66B0C" w:rsidRDefault="00E66B0C" w:rsidP="00A26F24">
            <w:pPr>
              <w:spacing w:after="0" w:line="240" w:lineRule="auto"/>
              <w:jc w:val="center"/>
              <w:rPr>
                <w:rFonts w:ascii="Cambria" w:hAnsi="Cambria" w:cs="Calibri"/>
                <w:color w:val="000000"/>
                <w:sz w:val="20"/>
                <w:szCs w:val="20"/>
              </w:rPr>
            </w:pPr>
            <w:r>
              <w:rPr>
                <w:rFonts w:ascii="Cambria" w:hAnsi="Cambria" w:cs="Calibri"/>
                <w:color w:val="000000"/>
                <w:sz w:val="20"/>
                <w:szCs w:val="20"/>
              </w:rPr>
              <w:fldChar w:fldCharType="begin" w:fldLock="1"/>
            </w:r>
            <w:r w:rsidR="00B61AB1">
              <w:rPr>
                <w:rFonts w:ascii="Cambria" w:hAnsi="Cambria" w:cs="Calibri"/>
                <w:color w:val="000000"/>
                <w:sz w:val="20"/>
                <w:szCs w:val="20"/>
              </w:rPr>
              <w:instrText>ADDIN CSL_CITATION {"citationItems":[{"id":"ITEM-1","itemData":{"DOI":"10.1073/pnas.1906507117","abstract":"The mechanisms of natural gas formation are important to the carbon cycle and predicting where economical amounts of natural gas form. However, the formation mechanisms of natural gas are not clear, with hypotheses including both irreversible chemical processes such as thermal cracking of long-chain hydrocarbons and thermodynamic equilibrium processes such as transition metal catalysis. Here we show that hydrocarbon species in natural gases are initially produced by irreversible cracking chemistry, but, as thermal maturity increases, the H and C isotopic distributions within and among coexisting light n-alkanes approach thermodynamic equilibrium, either at the conditions of gas formation or during reservoir storage. Our finding has significant implications for natural gas exploration.Natural gas is a key energy resource, and understanding how it forms is important for predicting where it forms in economically important volumes. However, the origin of dry thermogenic natural gas is one of the most controversial topics in petroleum geochemistry, with several differing hypotheses proposed, including kinetic processes (such as thermal cleavage, phase partitioning during migration, and demethylation of aromatic rings) and equilibrium processes (such as transition metal catalysis). The dominant paradigm is that it is a product of kinetically controlled cracking of long-chain hydrocarbons. Here we show that C2+ n-alkane gases (ethane, propane, butane, and pentane) are initially produced by irreversible cracking chemistry, but, as thermal maturity increases, the isotopic distribution of these species approaches thermodynamic equilibrium, either at the conditions of gas formation or during reservoir storage, becoming indistinguishable from equilibrium in the most thermally mature gases. We also find that the pair of CO2 and C1 (methane) exhibit a separate pattern of mutual isotopic equilibrium (generally at reservoir conditions), suggesting that they form a second, quasi-equilibrated population, separate from the C2 to C5 compounds. This conclusion implies that new approaches should be taken to predicting the compositions of natural gases as functions of time, temperature, and source substrate. Additionally, an isotopically equilibrated state can serve as a reference frame for recognizing many secondary processes that may modify natural gases after their formation, such as biodegradation.","author":[{"dropping-particle":"","family":"Thiagarajan","given":"Nivedita","non-dropping-particle":"","parse-names":false,"suffix":""},{"dropping-particle":"","family":"Xie","given":"Hao","non-dropping-particle":"","parse-names":false,"suffix":""},{"dropping-particle":"","family":"Ponton","given":"Camilo","non-dropping-particle":"","parse-names":false,"suffix":""},{"dropping-particle":"","family":"Kitchen","given":"Nami","non-dropping-particle":"","parse-names":false,"suffix":""},{"dropping-particle":"","family":"Peterson","given":"Brian","non-dropping-particle":"","parse-names":false,"suffix":""},{"dropping-particle":"","family":"Lawson","given":"Michael","non-dropping-particle":"","parse-names":false,"suffix":""},{"dropping-particle":"","family":"Formolo","given":"Michael","non-dropping-particle":"","parse-names":false,"suffix":""},{"dropping-particle":"","family":"Xiao","given":"Yitian","non-dropping-particle":"","parse-names":false,"suffix":""},{"dropping-particle":"","family":"Eiler","given":"John","non-dropping-particle":"","parse-names":false,"suffix":""}],"container-title":"Proceedings of the National Academy of Sciences","id":"ITEM-1","issued":{"date-parts":[["2020","2"]]},"page":"201906507","title":"Isotopic evidence for quasi-equilibrium chemistry in thermally mature natural gases","type":"article-journal"},"uris":["http://www.mendeley.com/documents/?uuid=94e9400c-7e93-4a5a-9fbc-aaacc50790be"]}],"mendeley":{"formattedCitation":"(Thiagarajan et al., 2020)","manualFormatting":"Thiagarajan et al., (2020)","plainTextFormattedCitation":"(Thiagarajan et al., 2020)","previouslyFormattedCitation":"(Thiagarajan et al., 2020)"},"properties":{"noteIndex":0},"schema":"https://github.com/citation-style-language/schema/raw/master/csl-citation.json"}</w:instrText>
            </w:r>
            <w:r>
              <w:rPr>
                <w:rFonts w:ascii="Cambria" w:hAnsi="Cambria" w:cs="Calibri"/>
                <w:color w:val="000000"/>
                <w:sz w:val="20"/>
                <w:szCs w:val="20"/>
              </w:rPr>
              <w:fldChar w:fldCharType="separate"/>
            </w:r>
            <w:r w:rsidRPr="00E66B0C">
              <w:rPr>
                <w:rFonts w:ascii="Cambria" w:hAnsi="Cambria" w:cs="Calibri"/>
                <w:noProof/>
                <w:color w:val="000000"/>
                <w:sz w:val="20"/>
                <w:szCs w:val="20"/>
              </w:rPr>
              <w:t xml:space="preserve">Thiagarajan et al., </w:t>
            </w:r>
            <w:r>
              <w:rPr>
                <w:rFonts w:ascii="Cambria" w:hAnsi="Cambria" w:cs="Calibri"/>
                <w:noProof/>
                <w:color w:val="000000"/>
                <w:sz w:val="20"/>
                <w:szCs w:val="20"/>
              </w:rPr>
              <w:t>(</w:t>
            </w:r>
            <w:r w:rsidRPr="00E66B0C">
              <w:rPr>
                <w:rFonts w:ascii="Cambria" w:hAnsi="Cambria" w:cs="Calibri"/>
                <w:noProof/>
                <w:color w:val="000000"/>
                <w:sz w:val="20"/>
                <w:szCs w:val="20"/>
              </w:rPr>
              <w:t>2020)</w:t>
            </w:r>
            <w:r>
              <w:rPr>
                <w:rFonts w:ascii="Cambria" w:hAnsi="Cambria" w:cs="Calibri"/>
                <w:color w:val="000000"/>
                <w:sz w:val="20"/>
                <w:szCs w:val="20"/>
              </w:rPr>
              <w:fldChar w:fldCharType="end"/>
            </w:r>
          </w:p>
        </w:tc>
        <w:tc>
          <w:tcPr>
            <w:tcW w:w="4804" w:type="dxa"/>
            <w:tcBorders>
              <w:top w:val="nil"/>
              <w:left w:val="single" w:sz="4" w:space="0" w:color="auto"/>
              <w:bottom w:val="nil"/>
              <w:right w:val="single" w:sz="4" w:space="0" w:color="auto"/>
            </w:tcBorders>
            <w:shd w:val="clear" w:color="auto" w:fill="auto"/>
            <w:noWrap/>
            <w:vAlign w:val="center"/>
          </w:tcPr>
          <w:p w14:paraId="0AFF6955" w14:textId="1DB39CB2" w:rsidR="00E66B0C" w:rsidRPr="007A4F1A" w:rsidRDefault="00B61AB1" w:rsidP="00A26F24">
            <w:pPr>
              <w:spacing w:after="0" w:line="240" w:lineRule="auto"/>
              <w:jc w:val="center"/>
              <w:rPr>
                <w:rFonts w:ascii="Cambria" w:hAnsi="Cambria" w:cs="Calibri"/>
                <w:color w:val="000000"/>
                <w:sz w:val="20"/>
                <w:szCs w:val="20"/>
              </w:rPr>
            </w:pPr>
            <w:r>
              <w:rPr>
                <w:rFonts w:ascii="Cambria" w:eastAsia="Times New Roman" w:hAnsi="Cambria" w:cs="Calibri"/>
                <w:color w:val="000000"/>
                <w:sz w:val="20"/>
                <w:szCs w:val="20"/>
              </w:rPr>
              <w:t>Partially excluded; samples from Jen-Olla and Genesis are biogenic.</w:t>
            </w:r>
          </w:p>
        </w:tc>
      </w:tr>
      <w:tr w:rsidR="00B61AB1" w:rsidRPr="00C44295" w14:paraId="7299A46D" w14:textId="77777777" w:rsidTr="007438AC">
        <w:trPr>
          <w:trHeight w:val="484"/>
          <w:jc w:val="center"/>
        </w:trPr>
        <w:tc>
          <w:tcPr>
            <w:tcW w:w="3166" w:type="dxa"/>
            <w:tcBorders>
              <w:top w:val="nil"/>
              <w:left w:val="single" w:sz="4" w:space="0" w:color="auto"/>
              <w:bottom w:val="nil"/>
              <w:right w:val="single" w:sz="4" w:space="0" w:color="auto"/>
            </w:tcBorders>
            <w:shd w:val="clear" w:color="auto" w:fill="auto"/>
            <w:noWrap/>
            <w:vAlign w:val="center"/>
          </w:tcPr>
          <w:p w14:paraId="5B9FED65" w14:textId="181C1333" w:rsidR="00B61AB1" w:rsidRDefault="00B61AB1" w:rsidP="00A26F24">
            <w:pPr>
              <w:spacing w:after="0" w:line="240" w:lineRule="auto"/>
              <w:jc w:val="center"/>
              <w:rPr>
                <w:rFonts w:ascii="Cambria" w:hAnsi="Cambria" w:cs="Calibri"/>
                <w:color w:val="000000"/>
                <w:sz w:val="20"/>
                <w:szCs w:val="20"/>
              </w:rPr>
            </w:pPr>
            <w:r>
              <w:rPr>
                <w:rFonts w:ascii="Cambria" w:hAnsi="Cambria" w:cs="Calibri"/>
                <w:color w:val="000000"/>
                <w:sz w:val="20"/>
                <w:szCs w:val="20"/>
              </w:rPr>
              <w:t>Geoscience Australia</w:t>
            </w:r>
            <w:r w:rsidR="00762923">
              <w:rPr>
                <w:rFonts w:ascii="Cambria" w:hAnsi="Cambria" w:cs="Calibri"/>
                <w:color w:val="000000"/>
                <w:sz w:val="20"/>
                <w:szCs w:val="20"/>
              </w:rPr>
              <w:t>, ’ORGCHEM’ database</w:t>
            </w:r>
          </w:p>
        </w:tc>
        <w:tc>
          <w:tcPr>
            <w:tcW w:w="4804" w:type="dxa"/>
            <w:tcBorders>
              <w:top w:val="nil"/>
              <w:left w:val="single" w:sz="4" w:space="0" w:color="auto"/>
              <w:bottom w:val="nil"/>
              <w:right w:val="single" w:sz="4" w:space="0" w:color="auto"/>
            </w:tcBorders>
            <w:shd w:val="clear" w:color="auto" w:fill="auto"/>
            <w:noWrap/>
            <w:vAlign w:val="center"/>
          </w:tcPr>
          <w:p w14:paraId="21631E99" w14:textId="53DAF9E3" w:rsidR="00B61AB1" w:rsidRDefault="007438AC" w:rsidP="00A26F24">
            <w:pPr>
              <w:spacing w:after="0" w:line="240" w:lineRule="auto"/>
              <w:jc w:val="center"/>
              <w:rPr>
                <w:rFonts w:ascii="Cambria" w:eastAsia="Times New Roman" w:hAnsi="Cambria" w:cs="Calibri"/>
                <w:color w:val="000000"/>
                <w:sz w:val="20"/>
                <w:szCs w:val="20"/>
              </w:rPr>
            </w:pPr>
            <w:r>
              <w:rPr>
                <w:rFonts w:ascii="Cambria" w:eastAsia="Times New Roman" w:hAnsi="Cambria" w:cs="Calibri"/>
                <w:color w:val="000000"/>
                <w:sz w:val="20"/>
                <w:szCs w:val="20"/>
              </w:rPr>
              <w:t>Samples from the Browse Basin and Otway Basin.</w:t>
            </w:r>
          </w:p>
        </w:tc>
      </w:tr>
    </w:tbl>
    <w:p w14:paraId="4DDFD92F" w14:textId="77777777" w:rsidR="007438AC" w:rsidRDefault="007438AC" w:rsidP="00B61AB1">
      <w:pPr>
        <w:widowControl w:val="0"/>
        <w:autoSpaceDE w:val="0"/>
        <w:autoSpaceDN w:val="0"/>
        <w:adjustRightInd w:val="0"/>
        <w:spacing w:line="240" w:lineRule="auto"/>
        <w:ind w:left="480" w:hanging="480"/>
        <w:rPr>
          <w:b/>
          <w:bCs/>
        </w:rPr>
      </w:pPr>
    </w:p>
    <w:p w14:paraId="337D4016" w14:textId="7FD0A158" w:rsidR="007438AC" w:rsidRDefault="007438AC" w:rsidP="00B61AB1">
      <w:pPr>
        <w:widowControl w:val="0"/>
        <w:autoSpaceDE w:val="0"/>
        <w:autoSpaceDN w:val="0"/>
        <w:adjustRightInd w:val="0"/>
        <w:spacing w:line="240" w:lineRule="auto"/>
        <w:ind w:left="480" w:hanging="480"/>
        <w:rPr>
          <w:rFonts w:ascii="Times New Roman" w:hAnsi="Times New Roman" w:cs="Times New Roman"/>
          <w:b/>
          <w:bCs/>
        </w:rPr>
      </w:pPr>
    </w:p>
    <w:p w14:paraId="01CAA53C" w14:textId="56319070" w:rsidR="000E2885" w:rsidRDefault="000E2885" w:rsidP="00B61AB1">
      <w:pPr>
        <w:widowControl w:val="0"/>
        <w:autoSpaceDE w:val="0"/>
        <w:autoSpaceDN w:val="0"/>
        <w:adjustRightInd w:val="0"/>
        <w:spacing w:line="240" w:lineRule="auto"/>
        <w:ind w:left="480" w:hanging="480"/>
        <w:rPr>
          <w:rFonts w:ascii="Times New Roman" w:hAnsi="Times New Roman" w:cs="Times New Roman"/>
          <w:b/>
          <w:bCs/>
        </w:rPr>
      </w:pPr>
    </w:p>
    <w:p w14:paraId="467F07E2" w14:textId="125E48DD" w:rsidR="000E2885" w:rsidRDefault="000E2885" w:rsidP="00B61AB1">
      <w:pPr>
        <w:widowControl w:val="0"/>
        <w:autoSpaceDE w:val="0"/>
        <w:autoSpaceDN w:val="0"/>
        <w:adjustRightInd w:val="0"/>
        <w:spacing w:line="240" w:lineRule="auto"/>
        <w:ind w:left="480" w:hanging="480"/>
        <w:rPr>
          <w:rFonts w:ascii="Times New Roman" w:hAnsi="Times New Roman" w:cs="Times New Roman"/>
          <w:b/>
          <w:bCs/>
        </w:rPr>
      </w:pPr>
    </w:p>
    <w:p w14:paraId="461DFF01" w14:textId="07CCB676" w:rsidR="000E2885" w:rsidRDefault="000E2885" w:rsidP="00B61AB1">
      <w:pPr>
        <w:widowControl w:val="0"/>
        <w:autoSpaceDE w:val="0"/>
        <w:autoSpaceDN w:val="0"/>
        <w:adjustRightInd w:val="0"/>
        <w:spacing w:line="240" w:lineRule="auto"/>
        <w:ind w:left="480" w:hanging="480"/>
        <w:rPr>
          <w:rFonts w:ascii="Times New Roman" w:hAnsi="Times New Roman" w:cs="Times New Roman"/>
          <w:b/>
          <w:bCs/>
        </w:rPr>
      </w:pPr>
    </w:p>
    <w:p w14:paraId="53809253" w14:textId="067A629B" w:rsidR="000E2885" w:rsidRDefault="000E2885" w:rsidP="00B61AB1">
      <w:pPr>
        <w:widowControl w:val="0"/>
        <w:autoSpaceDE w:val="0"/>
        <w:autoSpaceDN w:val="0"/>
        <w:adjustRightInd w:val="0"/>
        <w:spacing w:line="240" w:lineRule="auto"/>
        <w:ind w:left="480" w:hanging="480"/>
        <w:rPr>
          <w:rFonts w:ascii="Times New Roman" w:hAnsi="Times New Roman" w:cs="Times New Roman"/>
          <w:b/>
          <w:bCs/>
        </w:rPr>
      </w:pPr>
    </w:p>
    <w:p w14:paraId="20258FBB" w14:textId="77777777" w:rsidR="000E2885" w:rsidRPr="007438AC" w:rsidRDefault="000E2885" w:rsidP="00B61AB1">
      <w:pPr>
        <w:widowControl w:val="0"/>
        <w:autoSpaceDE w:val="0"/>
        <w:autoSpaceDN w:val="0"/>
        <w:adjustRightInd w:val="0"/>
        <w:spacing w:line="240" w:lineRule="auto"/>
        <w:ind w:left="480" w:hanging="480"/>
        <w:rPr>
          <w:rFonts w:ascii="Times New Roman" w:hAnsi="Times New Roman" w:cs="Times New Roman"/>
          <w:b/>
          <w:bCs/>
        </w:rPr>
      </w:pPr>
    </w:p>
    <w:p w14:paraId="02882149" w14:textId="1F9BB50C" w:rsidR="00B61AB1" w:rsidRPr="007438AC" w:rsidRDefault="00B61AB1" w:rsidP="00B61AB1">
      <w:pPr>
        <w:widowControl w:val="0"/>
        <w:autoSpaceDE w:val="0"/>
        <w:autoSpaceDN w:val="0"/>
        <w:adjustRightInd w:val="0"/>
        <w:spacing w:line="240" w:lineRule="auto"/>
        <w:ind w:left="480" w:hanging="480"/>
        <w:rPr>
          <w:rFonts w:ascii="Times New Roman" w:hAnsi="Times New Roman" w:cs="Times New Roman"/>
          <w:b/>
          <w:bCs/>
        </w:rPr>
      </w:pPr>
      <w:r w:rsidRPr="007438AC">
        <w:rPr>
          <w:rFonts w:ascii="Times New Roman" w:hAnsi="Times New Roman" w:cs="Times New Roman"/>
          <w:b/>
          <w:bCs/>
        </w:rPr>
        <w:t>Literatures cited:</w:t>
      </w:r>
    </w:p>
    <w:p w14:paraId="1D71EF69" w14:textId="5F02FD16" w:rsidR="00090378" w:rsidRPr="00090378" w:rsidRDefault="00B61AB1"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7438AC">
        <w:rPr>
          <w:rFonts w:ascii="Times New Roman" w:hAnsi="Times New Roman" w:cs="Times New Roman"/>
        </w:rPr>
        <w:lastRenderedPageBreak/>
        <w:fldChar w:fldCharType="begin" w:fldLock="1"/>
      </w:r>
      <w:r w:rsidRPr="007438AC">
        <w:rPr>
          <w:rFonts w:ascii="Times New Roman" w:hAnsi="Times New Roman" w:cs="Times New Roman"/>
        </w:rPr>
        <w:instrText xml:space="preserve">ADDIN Mendeley Bibliography CSL_BIBLIOGRAPHY </w:instrText>
      </w:r>
      <w:r w:rsidRPr="007438AC">
        <w:rPr>
          <w:rFonts w:ascii="Times New Roman" w:hAnsi="Times New Roman" w:cs="Times New Roman"/>
        </w:rPr>
        <w:fldChar w:fldCharType="separate"/>
      </w:r>
      <w:r w:rsidR="00090378" w:rsidRPr="00090378">
        <w:rPr>
          <w:rFonts w:ascii="Times New Roman" w:hAnsi="Times New Roman" w:cs="Times New Roman"/>
          <w:noProof/>
          <w:szCs w:val="24"/>
        </w:rPr>
        <w:t xml:space="preserve">Boreham C. J. and Edwards D. S. (2008) Abundance and carbon isotopic composition of neo-pentane in Australian natural gases. </w:t>
      </w:r>
      <w:r w:rsidR="00090378" w:rsidRPr="00090378">
        <w:rPr>
          <w:rFonts w:ascii="Times New Roman" w:hAnsi="Times New Roman" w:cs="Times New Roman"/>
          <w:i/>
          <w:iCs/>
          <w:noProof/>
          <w:szCs w:val="24"/>
        </w:rPr>
        <w:t>Org. Geochem.</w:t>
      </w:r>
      <w:r w:rsidR="00090378" w:rsidRPr="00090378">
        <w:rPr>
          <w:rFonts w:ascii="Times New Roman" w:hAnsi="Times New Roman" w:cs="Times New Roman"/>
          <w:noProof/>
          <w:szCs w:val="24"/>
        </w:rPr>
        <w:t xml:space="preserve"> </w:t>
      </w:r>
      <w:r w:rsidR="00090378" w:rsidRPr="00090378">
        <w:rPr>
          <w:rFonts w:ascii="Times New Roman" w:hAnsi="Times New Roman" w:cs="Times New Roman"/>
          <w:b/>
          <w:bCs/>
          <w:noProof/>
          <w:szCs w:val="24"/>
        </w:rPr>
        <w:t>39</w:t>
      </w:r>
      <w:r w:rsidR="00090378" w:rsidRPr="00090378">
        <w:rPr>
          <w:rFonts w:ascii="Times New Roman" w:hAnsi="Times New Roman" w:cs="Times New Roman"/>
          <w:noProof/>
          <w:szCs w:val="24"/>
        </w:rPr>
        <w:t>, 550–566.</w:t>
      </w:r>
    </w:p>
    <w:p w14:paraId="36FA3E0D"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Burruss R. C. and Laughrey C. D. (2010) Carbon and hydrogen isotopic reversals in deep basin gas: Evidence for limits to the stability of hydrocarbons. </w:t>
      </w:r>
      <w:r w:rsidRPr="00090378">
        <w:rPr>
          <w:rFonts w:ascii="Times New Roman" w:hAnsi="Times New Roman" w:cs="Times New Roman"/>
          <w:i/>
          <w:iCs/>
          <w:noProof/>
          <w:szCs w:val="24"/>
        </w:rPr>
        <w:t>Org. Geochem.</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41</w:t>
      </w:r>
      <w:r w:rsidRPr="00090378">
        <w:rPr>
          <w:rFonts w:ascii="Times New Roman" w:hAnsi="Times New Roman" w:cs="Times New Roman"/>
          <w:noProof/>
          <w:szCs w:val="24"/>
        </w:rPr>
        <w:t>, 1285–1296.</w:t>
      </w:r>
    </w:p>
    <w:p w14:paraId="392B4753"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Dai J., Ni Y. and Zou C. (2012) Stable carbon and hydrogen isotopes of natural gases sourced from the Xujiahe Formation in the Sichuan Basin, China. </w:t>
      </w:r>
      <w:r w:rsidRPr="00090378">
        <w:rPr>
          <w:rFonts w:ascii="Times New Roman" w:hAnsi="Times New Roman" w:cs="Times New Roman"/>
          <w:i/>
          <w:iCs/>
          <w:noProof/>
          <w:szCs w:val="24"/>
        </w:rPr>
        <w:t>Org. Geochem.</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43</w:t>
      </w:r>
      <w:r w:rsidRPr="00090378">
        <w:rPr>
          <w:rFonts w:ascii="Times New Roman" w:hAnsi="Times New Roman" w:cs="Times New Roman"/>
          <w:noProof/>
          <w:szCs w:val="24"/>
        </w:rPr>
        <w:t>, 103–111.</w:t>
      </w:r>
    </w:p>
    <w:p w14:paraId="4C5C0362"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Dai J. X., Ni Y. Y., Hu G. Y., Huang S. P., Liao F. R., Yu C., Gong D. Y. and Wu W. (2014) Stable carbon and hydrogen isotopes of gases from the large tight gas fields in China. </w:t>
      </w:r>
      <w:r w:rsidRPr="00090378">
        <w:rPr>
          <w:rFonts w:ascii="Times New Roman" w:hAnsi="Times New Roman" w:cs="Times New Roman"/>
          <w:i/>
          <w:iCs/>
          <w:noProof/>
          <w:szCs w:val="24"/>
        </w:rPr>
        <w:t>Sci. China Earth Sci.</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57</w:t>
      </w:r>
      <w:r w:rsidRPr="00090378">
        <w:rPr>
          <w:rFonts w:ascii="Times New Roman" w:hAnsi="Times New Roman" w:cs="Times New Roman"/>
          <w:noProof/>
          <w:szCs w:val="24"/>
        </w:rPr>
        <w:t>, 88–103.</w:t>
      </w:r>
    </w:p>
    <w:p w14:paraId="00FAA457"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Eldrett J. S., Minisini D. and Bergman S. C. (2014) Decoupling of the carbon cycle during ocean anoxic event 2. </w:t>
      </w:r>
      <w:r w:rsidRPr="00090378">
        <w:rPr>
          <w:rFonts w:ascii="Times New Roman" w:hAnsi="Times New Roman" w:cs="Times New Roman"/>
          <w:i/>
          <w:iCs/>
          <w:noProof/>
          <w:szCs w:val="24"/>
        </w:rPr>
        <w:t>Geology</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42</w:t>
      </w:r>
      <w:r w:rsidRPr="00090378">
        <w:rPr>
          <w:rFonts w:ascii="Times New Roman" w:hAnsi="Times New Roman" w:cs="Times New Roman"/>
          <w:noProof/>
          <w:szCs w:val="24"/>
        </w:rPr>
        <w:t>, 567–570.</w:t>
      </w:r>
    </w:p>
    <w:p w14:paraId="2A7F5A00"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Hulston J. R., Hilton D. R. and Kaplan I. R. (2001) Helium and carbon isotope systematics of natural gases from Taranaki Basin, New Zealand. </w:t>
      </w:r>
      <w:r w:rsidRPr="00090378">
        <w:rPr>
          <w:rFonts w:ascii="Times New Roman" w:hAnsi="Times New Roman" w:cs="Times New Roman"/>
          <w:i/>
          <w:iCs/>
          <w:noProof/>
          <w:szCs w:val="24"/>
        </w:rPr>
        <w:t>Appl. Geochemistry</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16</w:t>
      </w:r>
      <w:r w:rsidRPr="00090378">
        <w:rPr>
          <w:rFonts w:ascii="Times New Roman" w:hAnsi="Times New Roman" w:cs="Times New Roman"/>
          <w:noProof/>
          <w:szCs w:val="24"/>
        </w:rPr>
        <w:t>, 419–436.</w:t>
      </w:r>
    </w:p>
    <w:p w14:paraId="72AC74E9"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Jin Z., Zhang L., Wang Y., Cui Y. and Milla K. (2009) Using carbon, hydrogen and helium isotopes to unravel the origin of hydrocarbons in the wujiaweizi area of the Songliao Basin, China. </w:t>
      </w:r>
      <w:r w:rsidRPr="00090378">
        <w:rPr>
          <w:rFonts w:ascii="Times New Roman" w:hAnsi="Times New Roman" w:cs="Times New Roman"/>
          <w:i/>
          <w:iCs/>
          <w:noProof/>
          <w:szCs w:val="24"/>
        </w:rPr>
        <w:t>Episodes</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32</w:t>
      </w:r>
      <w:r w:rsidRPr="00090378">
        <w:rPr>
          <w:rFonts w:ascii="Times New Roman" w:hAnsi="Times New Roman" w:cs="Times New Roman"/>
          <w:noProof/>
          <w:szCs w:val="24"/>
        </w:rPr>
        <w:t>, 167–176.</w:t>
      </w:r>
    </w:p>
    <w:p w14:paraId="5D0DFBDA"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Koepp M. (1978) D/H isotope exchange reaction between petroleum and water : A contributory determinant for D/H-isotope ratios in crude oil? </w:t>
      </w:r>
      <w:r w:rsidRPr="00090378">
        <w:rPr>
          <w:rFonts w:ascii="Times New Roman" w:hAnsi="Times New Roman" w:cs="Times New Roman"/>
          <w:i/>
          <w:iCs/>
          <w:noProof/>
          <w:szCs w:val="24"/>
        </w:rPr>
        <w:t>Short Pap. Fourth Int. Conf. Geochronology. Cosmochronol. Isot. Geol. 1978</w:t>
      </w:r>
      <w:r w:rsidRPr="00090378">
        <w:rPr>
          <w:rFonts w:ascii="Times New Roman" w:hAnsi="Times New Roman" w:cs="Times New Roman"/>
          <w:noProof/>
          <w:szCs w:val="24"/>
        </w:rPr>
        <w:t>, 221–222.</w:t>
      </w:r>
    </w:p>
    <w:p w14:paraId="7C83BD52"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Krouse H. R. (1983) </w:t>
      </w:r>
      <w:r w:rsidRPr="00090378">
        <w:rPr>
          <w:rFonts w:ascii="Times New Roman" w:hAnsi="Times New Roman" w:cs="Times New Roman"/>
          <w:i/>
          <w:iCs/>
          <w:noProof/>
          <w:szCs w:val="24"/>
        </w:rPr>
        <w:t>Stable isotope research in support of more effective utilization of gas fields in Alberta: Final report to the Alberta-Canada Energy Resource Research Fund.</w:t>
      </w:r>
      <w:r w:rsidRPr="00090378">
        <w:rPr>
          <w:rFonts w:ascii="Times New Roman" w:hAnsi="Times New Roman" w:cs="Times New Roman"/>
          <w:noProof/>
          <w:szCs w:val="24"/>
        </w:rPr>
        <w:t>,</w:t>
      </w:r>
    </w:p>
    <w:p w14:paraId="6502FEE7"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Liu Q. Y., Dai J. X., Li J. and Zhou Q. H. (2008) Hydrogen isotope composition of natural gases from the Tarim Basin and its indication of depositional environments of the source rocks. </w:t>
      </w:r>
      <w:r w:rsidRPr="00090378">
        <w:rPr>
          <w:rFonts w:ascii="Times New Roman" w:hAnsi="Times New Roman" w:cs="Times New Roman"/>
          <w:i/>
          <w:iCs/>
          <w:noProof/>
          <w:szCs w:val="24"/>
        </w:rPr>
        <w:t>Sci. China, Ser. D Earth Sci.</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51</w:t>
      </w:r>
      <w:r w:rsidRPr="00090378">
        <w:rPr>
          <w:rFonts w:ascii="Times New Roman" w:hAnsi="Times New Roman" w:cs="Times New Roman"/>
          <w:noProof/>
          <w:szCs w:val="24"/>
        </w:rPr>
        <w:t>, 300–311.</w:t>
      </w:r>
    </w:p>
    <w:p w14:paraId="3EF9D788"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Meng Q., Wang Xiaofeng, Wang Xiangzeng, Shi B., Luo X., Zhang L., Lei Y., Jiang C. and Liu P. (2017) Gas geochemical evidences for biodegradation of shale gases in the Upper Triassic Yanchang Formation, Ordos Basin, China. </w:t>
      </w:r>
      <w:r w:rsidRPr="00090378">
        <w:rPr>
          <w:rFonts w:ascii="Times New Roman" w:hAnsi="Times New Roman" w:cs="Times New Roman"/>
          <w:i/>
          <w:iCs/>
          <w:noProof/>
          <w:szCs w:val="24"/>
        </w:rPr>
        <w:t>Int. J. Coal Geol.</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179</w:t>
      </w:r>
      <w:r w:rsidRPr="00090378">
        <w:rPr>
          <w:rFonts w:ascii="Times New Roman" w:hAnsi="Times New Roman" w:cs="Times New Roman"/>
          <w:noProof/>
          <w:szCs w:val="24"/>
        </w:rPr>
        <w:t>, 139–152.</w:t>
      </w:r>
    </w:p>
    <w:p w14:paraId="11CE60AA"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Ni Y., Zhang D., Liao F., Gong D., Xue P., Yu F., Yu J., Chen J., Zhao C., Hu J. and Jin Y. (2015) Stable hydrogen and carbon isotopic ratios of coal-derived gases from the Turpan-Hami Basin, NW China. </w:t>
      </w:r>
      <w:r w:rsidRPr="00090378">
        <w:rPr>
          <w:rFonts w:ascii="Times New Roman" w:hAnsi="Times New Roman" w:cs="Times New Roman"/>
          <w:i/>
          <w:iCs/>
          <w:noProof/>
          <w:szCs w:val="24"/>
        </w:rPr>
        <w:t>Int. J. Coal Geol.</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152</w:t>
      </w:r>
      <w:r w:rsidRPr="00090378">
        <w:rPr>
          <w:rFonts w:ascii="Times New Roman" w:hAnsi="Times New Roman" w:cs="Times New Roman"/>
          <w:noProof/>
          <w:szCs w:val="24"/>
        </w:rPr>
        <w:t>, 144–155.</w:t>
      </w:r>
    </w:p>
    <w:p w14:paraId="355F0E95"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Prinzhofer A. A. and Huc A. Y. (1995) Genetic and post-genetic molecular and isotopic fractionations in natural gases. </w:t>
      </w:r>
      <w:r w:rsidRPr="00090378">
        <w:rPr>
          <w:rFonts w:ascii="Times New Roman" w:hAnsi="Times New Roman" w:cs="Times New Roman"/>
          <w:i/>
          <w:iCs/>
          <w:noProof/>
          <w:szCs w:val="24"/>
        </w:rPr>
        <w:t>Chem. Geol.</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126</w:t>
      </w:r>
      <w:r w:rsidRPr="00090378">
        <w:rPr>
          <w:rFonts w:ascii="Times New Roman" w:hAnsi="Times New Roman" w:cs="Times New Roman"/>
          <w:noProof/>
          <w:szCs w:val="24"/>
        </w:rPr>
        <w:t>, 281–290.</w:t>
      </w:r>
    </w:p>
    <w:p w14:paraId="1ABF4625"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Rich K., Muehlenbachs K., Uhrich K. and Greenwood G. (1995) Carbon isotope characterization of migrating gas in the heavy oil fields of Alberta, Canada. In </w:t>
      </w:r>
      <w:r w:rsidRPr="00090378">
        <w:rPr>
          <w:rFonts w:ascii="Times New Roman" w:hAnsi="Times New Roman" w:cs="Times New Roman"/>
          <w:i/>
          <w:iCs/>
          <w:noProof/>
          <w:szCs w:val="24"/>
        </w:rPr>
        <w:t>Proceedings - SPE International Heavy Oil Symposium</w:t>
      </w:r>
      <w:r w:rsidRPr="00090378">
        <w:rPr>
          <w:rFonts w:ascii="Times New Roman" w:hAnsi="Times New Roman" w:cs="Times New Roman"/>
          <w:noProof/>
          <w:szCs w:val="24"/>
        </w:rPr>
        <w:t xml:space="preserve"> Society of Petroleum Engineers. pp. 215–224.</w:t>
      </w:r>
    </w:p>
    <w:p w14:paraId="36F2AF04"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Rodriguez N. D. and Paul Philp R. (2010) Geochemical characterization of gases from the Mississippian Barnett Shale, Fort Worth Basin, Texas. </w:t>
      </w:r>
      <w:r w:rsidRPr="00090378">
        <w:rPr>
          <w:rFonts w:ascii="Times New Roman" w:hAnsi="Times New Roman" w:cs="Times New Roman"/>
          <w:i/>
          <w:iCs/>
          <w:noProof/>
          <w:szCs w:val="24"/>
        </w:rPr>
        <w:t>Am. Assoc. Pet. Geol. Bull.</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94</w:t>
      </w:r>
      <w:r w:rsidRPr="00090378">
        <w:rPr>
          <w:rFonts w:ascii="Times New Roman" w:hAnsi="Times New Roman" w:cs="Times New Roman"/>
          <w:noProof/>
          <w:szCs w:val="24"/>
        </w:rPr>
        <w:t>, 1641–1656.</w:t>
      </w:r>
    </w:p>
    <w:p w14:paraId="1731016D"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Strapoć D., Mastalerz M., Eble C. and Schimmelmann A. (2007) Characterization of the origin of coalbed gases in southeastern Illinois Basin by compound-specific carbon and hydrogen stable isotope ratios. </w:t>
      </w:r>
      <w:r w:rsidRPr="00090378">
        <w:rPr>
          <w:rFonts w:ascii="Times New Roman" w:hAnsi="Times New Roman" w:cs="Times New Roman"/>
          <w:i/>
          <w:iCs/>
          <w:noProof/>
          <w:szCs w:val="24"/>
        </w:rPr>
        <w:t>Org. Geochem.</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38</w:t>
      </w:r>
      <w:r w:rsidRPr="00090378">
        <w:rPr>
          <w:rFonts w:ascii="Times New Roman" w:hAnsi="Times New Roman" w:cs="Times New Roman"/>
          <w:noProof/>
          <w:szCs w:val="24"/>
        </w:rPr>
        <w:t>, 267–287.</w:t>
      </w:r>
    </w:p>
    <w:p w14:paraId="4E106553"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Thiagarajan N., Xie H., Ponton C., Kitchen N., Peterson B., Lawson M., Formolo M., Xiao Y. and Eiler J. </w:t>
      </w:r>
      <w:r w:rsidRPr="00090378">
        <w:rPr>
          <w:rFonts w:ascii="Times New Roman" w:hAnsi="Times New Roman" w:cs="Times New Roman"/>
          <w:noProof/>
          <w:szCs w:val="24"/>
        </w:rPr>
        <w:lastRenderedPageBreak/>
        <w:t xml:space="preserve">(2020) Isotopic evidence for quasi-equilibrium chemistry in thermally mature natural gases. </w:t>
      </w:r>
      <w:r w:rsidRPr="00090378">
        <w:rPr>
          <w:rFonts w:ascii="Times New Roman" w:hAnsi="Times New Roman" w:cs="Times New Roman"/>
          <w:i/>
          <w:iCs/>
          <w:noProof/>
          <w:szCs w:val="24"/>
        </w:rPr>
        <w:t>Proc. Natl. Acad. Sci.</w:t>
      </w:r>
      <w:r w:rsidRPr="00090378">
        <w:rPr>
          <w:rFonts w:ascii="Times New Roman" w:hAnsi="Times New Roman" w:cs="Times New Roman"/>
          <w:noProof/>
          <w:szCs w:val="24"/>
        </w:rPr>
        <w:t>, 201906507.</w:t>
      </w:r>
    </w:p>
    <w:p w14:paraId="660BF9DE"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szCs w:val="24"/>
        </w:rPr>
      </w:pPr>
      <w:r w:rsidRPr="00090378">
        <w:rPr>
          <w:rFonts w:ascii="Times New Roman" w:hAnsi="Times New Roman" w:cs="Times New Roman"/>
          <w:noProof/>
          <w:szCs w:val="24"/>
        </w:rPr>
        <w:t xml:space="preserve">Wang X., Liu W., Shi B., Zhang Z., Xu Y. and Zheng J. (2015) Hydrogen isotope characteristics of thermogenic methane in Chinese sedimentary basins. </w:t>
      </w:r>
      <w:r w:rsidRPr="00090378">
        <w:rPr>
          <w:rFonts w:ascii="Times New Roman" w:hAnsi="Times New Roman" w:cs="Times New Roman"/>
          <w:i/>
          <w:iCs/>
          <w:noProof/>
          <w:szCs w:val="24"/>
        </w:rPr>
        <w:t>Org. Geochem.</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83</w:t>
      </w:r>
      <w:r w:rsidRPr="00090378">
        <w:rPr>
          <w:rFonts w:ascii="Times New Roman" w:hAnsi="Times New Roman" w:cs="Times New Roman"/>
          <w:noProof/>
          <w:szCs w:val="24"/>
        </w:rPr>
        <w:t>–</w:t>
      </w:r>
      <w:r w:rsidRPr="00090378">
        <w:rPr>
          <w:rFonts w:ascii="Times New Roman" w:hAnsi="Times New Roman" w:cs="Times New Roman"/>
          <w:b/>
          <w:bCs/>
          <w:noProof/>
          <w:szCs w:val="24"/>
        </w:rPr>
        <w:t>84</w:t>
      </w:r>
      <w:r w:rsidRPr="00090378">
        <w:rPr>
          <w:rFonts w:ascii="Times New Roman" w:hAnsi="Times New Roman" w:cs="Times New Roman"/>
          <w:noProof/>
          <w:szCs w:val="24"/>
        </w:rPr>
        <w:t>, 178–189.</w:t>
      </w:r>
    </w:p>
    <w:p w14:paraId="747D95E2" w14:textId="77777777" w:rsidR="00090378" w:rsidRPr="00090378" w:rsidRDefault="00090378" w:rsidP="00090378">
      <w:pPr>
        <w:widowControl w:val="0"/>
        <w:autoSpaceDE w:val="0"/>
        <w:autoSpaceDN w:val="0"/>
        <w:adjustRightInd w:val="0"/>
        <w:spacing w:line="240" w:lineRule="auto"/>
        <w:ind w:left="480" w:hanging="480"/>
        <w:rPr>
          <w:rFonts w:ascii="Times New Roman" w:hAnsi="Times New Roman" w:cs="Times New Roman"/>
          <w:noProof/>
        </w:rPr>
      </w:pPr>
      <w:r w:rsidRPr="00090378">
        <w:rPr>
          <w:rFonts w:ascii="Times New Roman" w:hAnsi="Times New Roman" w:cs="Times New Roman"/>
          <w:noProof/>
          <w:szCs w:val="24"/>
        </w:rPr>
        <w:t xml:space="preserve">Wang Y., Sessions A. L., Nielsen R. J. and Goddard W. A. (2009) Equilibrium </w:t>
      </w:r>
      <w:r w:rsidRPr="00090378">
        <w:rPr>
          <w:rFonts w:ascii="Times New Roman" w:hAnsi="Times New Roman" w:cs="Times New Roman"/>
          <w:noProof/>
          <w:szCs w:val="24"/>
          <w:vertAlign w:val="superscript"/>
        </w:rPr>
        <w:t>2</w:t>
      </w:r>
      <w:r w:rsidRPr="00090378">
        <w:rPr>
          <w:rFonts w:ascii="Times New Roman" w:hAnsi="Times New Roman" w:cs="Times New Roman"/>
          <w:noProof/>
          <w:szCs w:val="24"/>
        </w:rPr>
        <w:t>H/</w:t>
      </w:r>
      <w:r w:rsidRPr="00090378">
        <w:rPr>
          <w:rFonts w:ascii="Times New Roman" w:hAnsi="Times New Roman" w:cs="Times New Roman"/>
          <w:noProof/>
          <w:szCs w:val="24"/>
          <w:vertAlign w:val="superscript"/>
        </w:rPr>
        <w:t>1</w:t>
      </w:r>
      <w:r w:rsidRPr="00090378">
        <w:rPr>
          <w:rFonts w:ascii="Times New Roman" w:hAnsi="Times New Roman" w:cs="Times New Roman"/>
          <w:noProof/>
          <w:szCs w:val="24"/>
        </w:rPr>
        <w:t xml:space="preserve">H fractionations in organic molecules: II. Linear alkanes, alkenes, ketones, carboxylic acids, esters, alcohols and ethers. </w:t>
      </w:r>
      <w:r w:rsidRPr="00090378">
        <w:rPr>
          <w:rFonts w:ascii="Times New Roman" w:hAnsi="Times New Roman" w:cs="Times New Roman"/>
          <w:i/>
          <w:iCs/>
          <w:noProof/>
          <w:szCs w:val="24"/>
        </w:rPr>
        <w:t>Geochim. Cosmochim. Acta</w:t>
      </w:r>
      <w:r w:rsidRPr="00090378">
        <w:rPr>
          <w:rFonts w:ascii="Times New Roman" w:hAnsi="Times New Roman" w:cs="Times New Roman"/>
          <w:noProof/>
          <w:szCs w:val="24"/>
        </w:rPr>
        <w:t xml:space="preserve"> </w:t>
      </w:r>
      <w:r w:rsidRPr="00090378">
        <w:rPr>
          <w:rFonts w:ascii="Times New Roman" w:hAnsi="Times New Roman" w:cs="Times New Roman"/>
          <w:b/>
          <w:bCs/>
          <w:noProof/>
          <w:szCs w:val="24"/>
        </w:rPr>
        <w:t>73</w:t>
      </w:r>
      <w:r w:rsidRPr="00090378">
        <w:rPr>
          <w:rFonts w:ascii="Times New Roman" w:hAnsi="Times New Roman" w:cs="Times New Roman"/>
          <w:noProof/>
          <w:szCs w:val="24"/>
        </w:rPr>
        <w:t>, 7076–7086.</w:t>
      </w:r>
    </w:p>
    <w:p w14:paraId="7EC1B03B" w14:textId="41513B24" w:rsidR="00D32846" w:rsidRPr="007438AC" w:rsidRDefault="00B61AB1" w:rsidP="00D32846">
      <w:pPr>
        <w:ind w:left="360"/>
        <w:rPr>
          <w:rFonts w:ascii="Times New Roman" w:hAnsi="Times New Roman" w:cs="Times New Roman"/>
        </w:rPr>
      </w:pPr>
      <w:r w:rsidRPr="007438AC">
        <w:rPr>
          <w:rFonts w:ascii="Times New Roman" w:hAnsi="Times New Roman" w:cs="Times New Roman"/>
        </w:rPr>
        <w:fldChar w:fldCharType="end"/>
      </w:r>
    </w:p>
    <w:p w14:paraId="1B0B3766" w14:textId="77777777" w:rsidR="00A8447F" w:rsidRPr="007438AC" w:rsidRDefault="00A8447F" w:rsidP="00A8447F">
      <w:pPr>
        <w:jc w:val="center"/>
        <w:rPr>
          <w:rFonts w:ascii="Times New Roman" w:hAnsi="Times New Roman" w:cs="Times New Roman"/>
        </w:rPr>
      </w:pPr>
    </w:p>
    <w:sectPr w:rsidR="00A8447F" w:rsidRPr="0074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FE8"/>
    <w:multiLevelType w:val="hybridMultilevel"/>
    <w:tmpl w:val="2DD21B88"/>
    <w:lvl w:ilvl="0" w:tplc="B9D6E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62C21"/>
    <w:multiLevelType w:val="hybridMultilevel"/>
    <w:tmpl w:val="2DD21B88"/>
    <w:lvl w:ilvl="0" w:tplc="B9D6E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10A98"/>
    <w:multiLevelType w:val="hybridMultilevel"/>
    <w:tmpl w:val="74E2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C5"/>
    <w:rsid w:val="000178A8"/>
    <w:rsid w:val="000218E5"/>
    <w:rsid w:val="00040449"/>
    <w:rsid w:val="00066866"/>
    <w:rsid w:val="00090378"/>
    <w:rsid w:val="000A4623"/>
    <w:rsid w:val="000B4236"/>
    <w:rsid w:val="000E2885"/>
    <w:rsid w:val="000E46D2"/>
    <w:rsid w:val="000F7A8C"/>
    <w:rsid w:val="00102251"/>
    <w:rsid w:val="00112956"/>
    <w:rsid w:val="00125EC4"/>
    <w:rsid w:val="00133497"/>
    <w:rsid w:val="001775DF"/>
    <w:rsid w:val="001F3096"/>
    <w:rsid w:val="002152EB"/>
    <w:rsid w:val="00222220"/>
    <w:rsid w:val="002504B3"/>
    <w:rsid w:val="00281DB6"/>
    <w:rsid w:val="002B54F5"/>
    <w:rsid w:val="002B5D2C"/>
    <w:rsid w:val="003003EE"/>
    <w:rsid w:val="0030288C"/>
    <w:rsid w:val="003279A2"/>
    <w:rsid w:val="003805DC"/>
    <w:rsid w:val="003A75C6"/>
    <w:rsid w:val="003C7D5F"/>
    <w:rsid w:val="00435FAD"/>
    <w:rsid w:val="00456BE5"/>
    <w:rsid w:val="004D69A1"/>
    <w:rsid w:val="004E186C"/>
    <w:rsid w:val="0051291D"/>
    <w:rsid w:val="005A67E2"/>
    <w:rsid w:val="00623B57"/>
    <w:rsid w:val="0064094D"/>
    <w:rsid w:val="00674D4B"/>
    <w:rsid w:val="00695906"/>
    <w:rsid w:val="00695C45"/>
    <w:rsid w:val="006A4AD3"/>
    <w:rsid w:val="006B7CC0"/>
    <w:rsid w:val="007438AC"/>
    <w:rsid w:val="00762923"/>
    <w:rsid w:val="007A053F"/>
    <w:rsid w:val="007A4F1A"/>
    <w:rsid w:val="007A7E82"/>
    <w:rsid w:val="007E1EF8"/>
    <w:rsid w:val="007F7C05"/>
    <w:rsid w:val="0083415D"/>
    <w:rsid w:val="00892C64"/>
    <w:rsid w:val="008E76C5"/>
    <w:rsid w:val="009665FC"/>
    <w:rsid w:val="009776EF"/>
    <w:rsid w:val="00977F35"/>
    <w:rsid w:val="009A4BF8"/>
    <w:rsid w:val="009F2036"/>
    <w:rsid w:val="00A14B65"/>
    <w:rsid w:val="00A24335"/>
    <w:rsid w:val="00A8447F"/>
    <w:rsid w:val="00AA56EB"/>
    <w:rsid w:val="00AE0210"/>
    <w:rsid w:val="00AF731E"/>
    <w:rsid w:val="00B22B29"/>
    <w:rsid w:val="00B238C2"/>
    <w:rsid w:val="00B61AB1"/>
    <w:rsid w:val="00B97259"/>
    <w:rsid w:val="00BC07A9"/>
    <w:rsid w:val="00BC13BA"/>
    <w:rsid w:val="00C0053C"/>
    <w:rsid w:val="00C071E9"/>
    <w:rsid w:val="00C117F7"/>
    <w:rsid w:val="00C14E87"/>
    <w:rsid w:val="00C44295"/>
    <w:rsid w:val="00C63F69"/>
    <w:rsid w:val="00C779BF"/>
    <w:rsid w:val="00CB4EEC"/>
    <w:rsid w:val="00CE5020"/>
    <w:rsid w:val="00D14499"/>
    <w:rsid w:val="00D3029A"/>
    <w:rsid w:val="00D32846"/>
    <w:rsid w:val="00D669E2"/>
    <w:rsid w:val="00D870E5"/>
    <w:rsid w:val="00DE44DA"/>
    <w:rsid w:val="00DE7CCE"/>
    <w:rsid w:val="00DF1CC3"/>
    <w:rsid w:val="00DF7DBC"/>
    <w:rsid w:val="00E217EB"/>
    <w:rsid w:val="00E37C32"/>
    <w:rsid w:val="00E46D1F"/>
    <w:rsid w:val="00E66B0C"/>
    <w:rsid w:val="00EC66BE"/>
    <w:rsid w:val="00EE0825"/>
    <w:rsid w:val="00EF5BC3"/>
    <w:rsid w:val="00F03884"/>
    <w:rsid w:val="00F262E6"/>
    <w:rsid w:val="00F63B4C"/>
    <w:rsid w:val="00F65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EB9C"/>
  <w15:chartTrackingRefBased/>
  <w15:docId w15:val="{DB791229-3EC5-44F9-8A79-B283B43D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2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218E5"/>
    <w:pPr>
      <w:spacing w:after="200" w:line="240" w:lineRule="auto"/>
    </w:pPr>
    <w:rPr>
      <w:i/>
      <w:iCs/>
      <w:color w:val="44546A" w:themeColor="text2"/>
      <w:sz w:val="18"/>
      <w:szCs w:val="18"/>
    </w:rPr>
  </w:style>
  <w:style w:type="paragraph" w:styleId="ListParagraph">
    <w:name w:val="List Paragraph"/>
    <w:basedOn w:val="Normal"/>
    <w:uiPriority w:val="34"/>
    <w:qFormat/>
    <w:rsid w:val="000218E5"/>
    <w:pPr>
      <w:ind w:left="720"/>
      <w:contextualSpacing/>
    </w:pPr>
  </w:style>
  <w:style w:type="paragraph" w:styleId="BalloonText">
    <w:name w:val="Balloon Text"/>
    <w:basedOn w:val="Normal"/>
    <w:link w:val="BalloonTextChar"/>
    <w:uiPriority w:val="99"/>
    <w:semiHidden/>
    <w:unhideWhenUsed/>
    <w:rsid w:val="00695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1358">
      <w:bodyDiv w:val="1"/>
      <w:marLeft w:val="0"/>
      <w:marRight w:val="0"/>
      <w:marTop w:val="0"/>
      <w:marBottom w:val="0"/>
      <w:divBdr>
        <w:top w:val="none" w:sz="0" w:space="0" w:color="auto"/>
        <w:left w:val="none" w:sz="0" w:space="0" w:color="auto"/>
        <w:bottom w:val="none" w:sz="0" w:space="0" w:color="auto"/>
        <w:right w:val="none" w:sz="0" w:space="0" w:color="auto"/>
      </w:divBdr>
    </w:div>
    <w:div w:id="192576068">
      <w:bodyDiv w:val="1"/>
      <w:marLeft w:val="0"/>
      <w:marRight w:val="0"/>
      <w:marTop w:val="0"/>
      <w:marBottom w:val="0"/>
      <w:divBdr>
        <w:top w:val="none" w:sz="0" w:space="0" w:color="auto"/>
        <w:left w:val="none" w:sz="0" w:space="0" w:color="auto"/>
        <w:bottom w:val="none" w:sz="0" w:space="0" w:color="auto"/>
        <w:right w:val="none" w:sz="0" w:space="0" w:color="auto"/>
      </w:divBdr>
    </w:div>
    <w:div w:id="521893634">
      <w:bodyDiv w:val="1"/>
      <w:marLeft w:val="0"/>
      <w:marRight w:val="0"/>
      <w:marTop w:val="0"/>
      <w:marBottom w:val="0"/>
      <w:divBdr>
        <w:top w:val="none" w:sz="0" w:space="0" w:color="auto"/>
        <w:left w:val="none" w:sz="0" w:space="0" w:color="auto"/>
        <w:bottom w:val="none" w:sz="0" w:space="0" w:color="auto"/>
        <w:right w:val="none" w:sz="0" w:space="0" w:color="auto"/>
      </w:divBdr>
    </w:div>
    <w:div w:id="1418164599">
      <w:bodyDiv w:val="1"/>
      <w:marLeft w:val="0"/>
      <w:marRight w:val="0"/>
      <w:marTop w:val="0"/>
      <w:marBottom w:val="0"/>
      <w:divBdr>
        <w:top w:val="none" w:sz="0" w:space="0" w:color="auto"/>
        <w:left w:val="none" w:sz="0" w:space="0" w:color="auto"/>
        <w:bottom w:val="none" w:sz="0" w:space="0" w:color="auto"/>
        <w:right w:val="none" w:sz="0" w:space="0" w:color="auto"/>
      </w:divBdr>
    </w:div>
    <w:div w:id="1427383061">
      <w:bodyDiv w:val="1"/>
      <w:marLeft w:val="0"/>
      <w:marRight w:val="0"/>
      <w:marTop w:val="0"/>
      <w:marBottom w:val="0"/>
      <w:divBdr>
        <w:top w:val="none" w:sz="0" w:space="0" w:color="auto"/>
        <w:left w:val="none" w:sz="0" w:space="0" w:color="auto"/>
        <w:bottom w:val="none" w:sz="0" w:space="0" w:color="auto"/>
        <w:right w:val="none" w:sz="0" w:space="0" w:color="auto"/>
      </w:divBdr>
    </w:div>
    <w:div w:id="1710717483">
      <w:bodyDiv w:val="1"/>
      <w:marLeft w:val="0"/>
      <w:marRight w:val="0"/>
      <w:marTop w:val="0"/>
      <w:marBottom w:val="0"/>
      <w:divBdr>
        <w:top w:val="none" w:sz="0" w:space="0" w:color="auto"/>
        <w:left w:val="none" w:sz="0" w:space="0" w:color="auto"/>
        <w:bottom w:val="none" w:sz="0" w:space="0" w:color="auto"/>
        <w:right w:val="none" w:sz="0" w:space="0" w:color="auto"/>
      </w:divBdr>
    </w:div>
    <w:div w:id="18295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623E05-46CC-4228-A07A-D517C0C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9211</Words>
  <Characters>52509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Hao</dc:creator>
  <cp:keywords/>
  <dc:description/>
  <cp:lastModifiedBy>Xie Hao</cp:lastModifiedBy>
  <cp:revision>82</cp:revision>
  <dcterms:created xsi:type="dcterms:W3CDTF">2020-06-06T03:34:00Z</dcterms:created>
  <dcterms:modified xsi:type="dcterms:W3CDTF">2021-06-02T15:42:00Z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https://csl.mendeley.com/styles/487481191/elsevier-harvard</vt:lpwstr>
  </property>
  <property fmtid="{D5CDD505-2E9C-101B-9397-08002B2CF9AE}" pid="7" name="Mendeley Recent Style Name 2_1">
    <vt:lpwstr>Elsevier - Harvard (with titles) - Josué Jautzy</vt:lpwstr>
  </property>
  <property fmtid="{D5CDD505-2E9C-101B-9397-08002B2CF9AE}" pid="8" name="Mendeley Recent Style Id 3_1">
    <vt:lpwstr>http://www.zotero.org/styles/geochimica-et-cosmochimica-acta</vt:lpwstr>
  </property>
  <property fmtid="{D5CDD505-2E9C-101B-9397-08002B2CF9AE}" pid="9" name="Mendeley Recent Style Name 3_1">
    <vt:lpwstr>Geochimica et Cosmochimica Acta</vt:lpwstr>
  </property>
  <property fmtid="{D5CDD505-2E9C-101B-9397-08002B2CF9AE}" pid="10" name="Mendeley Recent Style Id 4_1">
    <vt:lpwstr>http://csl.mendeley.com/styles/513744471/geochimica-et-cosmochimica-acta</vt:lpwstr>
  </property>
  <property fmtid="{D5CDD505-2E9C-101B-9397-08002B2CF9AE}" pid="11" name="Mendeley Recent Style Name 4_1">
    <vt:lpwstr>Geochimica et Cosmochimica Acta - Hao Xie, Graduate student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38a2770b-c427-3bdb-87b2-a2d503cb94b9</vt:lpwstr>
  </property>
  <property fmtid="{D5CDD505-2E9C-101B-9397-08002B2CF9AE}" pid="24" name="Mendeley Citation Style_1">
    <vt:lpwstr>http://csl.mendeley.com/styles/513744471/geochimica-et-cosmochimica-acta</vt:lpwstr>
  </property>
</Properties>
</file>