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65" w:rsidRPr="00EA26FE" w:rsidRDefault="00E65465" w:rsidP="00603589">
      <w:pPr>
        <w:spacing w:line="480" w:lineRule="auto"/>
      </w:pPr>
      <w:r w:rsidRPr="002F05C2">
        <w:rPr>
          <w:b/>
        </w:rPr>
        <w:t>SI Table 1.</w:t>
      </w:r>
      <w:r>
        <w:t xml:space="preserve"> Sediment samples and incubation </w:t>
      </w:r>
      <w:r w:rsidRPr="00EA26FE">
        <w:t xml:space="preserve">conditions. </w:t>
      </w:r>
      <w:r w:rsidR="00EA26FE" w:rsidRPr="00CA15B3">
        <w:rPr>
          <w:color w:val="000000"/>
        </w:rPr>
        <w:t>Color</w:t>
      </w:r>
      <w:r w:rsidR="00EA26FE">
        <w:rPr>
          <w:color w:val="000000"/>
        </w:rPr>
        <w:t xml:space="preserve"> </w:t>
      </w:r>
      <w:r w:rsidR="00EA26FE" w:rsidRPr="00CA15B3">
        <w:rPr>
          <w:color w:val="000000"/>
        </w:rPr>
        <w:t xml:space="preserve">bar on the left identifies incubations from the same site (Costa Rica in blue, Eel River Basin in green) and specific sample (shades of blue ). </w:t>
      </w:r>
      <w:r w:rsidR="00EA26FE" w:rsidRPr="00CA15B3">
        <w:rPr>
          <w:color w:val="DD0806"/>
        </w:rPr>
        <w:t>Red</w:t>
      </w:r>
      <w:r w:rsidR="00EA26FE" w:rsidRPr="00CA15B3">
        <w:rPr>
          <w:color w:val="000000"/>
        </w:rPr>
        <w:t xml:space="preserve"> indicates analyses reported in this study.</w:t>
      </w:r>
    </w:p>
    <w:p w:rsidR="00E65465" w:rsidRDefault="00E65465" w:rsidP="00603589">
      <w:pPr>
        <w:spacing w:line="480" w:lineRule="auto"/>
      </w:pPr>
    </w:p>
    <w:p w:rsidR="00A16503" w:rsidRDefault="00E65465" w:rsidP="00603589">
      <w:pPr>
        <w:spacing w:line="480" w:lineRule="auto"/>
      </w:pPr>
      <w:r w:rsidRPr="004364C1">
        <w:rPr>
          <w:b/>
        </w:rPr>
        <w:t>SI Table 2.</w:t>
      </w:r>
      <w:r>
        <w:t xml:space="preserve"> </w:t>
      </w:r>
      <w:r w:rsidR="00A16503">
        <w:t>Primer</w:t>
      </w:r>
      <w:r w:rsidR="000974CF">
        <w:t>s</w:t>
      </w:r>
      <w:r w:rsidR="00A16503">
        <w:t xml:space="preserve"> and probe</w:t>
      </w:r>
      <w:r w:rsidR="000974CF">
        <w:t xml:space="preserve">s used in this study. </w:t>
      </w:r>
      <w:r w:rsidR="00A16503">
        <w:t xml:space="preserve"> </w:t>
      </w:r>
    </w:p>
    <w:p w:rsidR="00A16503" w:rsidRDefault="00A16503" w:rsidP="00603589">
      <w:pPr>
        <w:spacing w:line="480" w:lineRule="auto"/>
      </w:pPr>
    </w:p>
    <w:p w:rsidR="00E65465" w:rsidRDefault="00E751A2" w:rsidP="00603589">
      <w:pPr>
        <w:spacing w:line="480" w:lineRule="auto"/>
      </w:pPr>
      <w:r>
        <w:t xml:space="preserve">SI Table 3. </w:t>
      </w:r>
      <w:r w:rsidR="00E65465">
        <w:t>PCR conditions used in this study</w:t>
      </w:r>
      <w:r w:rsidR="00E65465" w:rsidRPr="00835A17">
        <w:t xml:space="preserve">. </w:t>
      </w:r>
      <w:r w:rsidR="00835A17" w:rsidRPr="00CA15B3">
        <w:rPr>
          <w:color w:val="000000"/>
        </w:rPr>
        <w:t>Assuming complete conversion of RNA to cDNA, concentration of templates (determined by Nanodrop spectrometer analysis of the DNA or RNA) were as follows: CR15 DNA: 16.2 ng/μl; CR15 cDNA: 6.7 ng/μl; CR17 DNA: 12.4 ng/μl, and CR17 cDNA: 5.0 ng/μl.</w:t>
      </w:r>
    </w:p>
    <w:p w:rsidR="00E65465" w:rsidRDefault="00E65465" w:rsidP="00603589">
      <w:pPr>
        <w:spacing w:line="480" w:lineRule="auto"/>
      </w:pPr>
    </w:p>
    <w:p w:rsidR="00E65465" w:rsidRDefault="00E65465" w:rsidP="000974CF">
      <w:pPr>
        <w:spacing w:line="480" w:lineRule="auto"/>
        <w:rPr>
          <w:rFonts w:ascii="Times" w:hAnsi="Times"/>
          <w:color w:val="000000"/>
        </w:rPr>
      </w:pPr>
      <w:r w:rsidRPr="002F05C2">
        <w:rPr>
          <w:b/>
        </w:rPr>
        <w:t xml:space="preserve">SI Table </w:t>
      </w:r>
      <w:r w:rsidR="00E751A2">
        <w:rPr>
          <w:b/>
        </w:rPr>
        <w:t>4</w:t>
      </w:r>
      <w:r w:rsidRPr="00FC624C">
        <w:rPr>
          <w:rFonts w:ascii="Times" w:hAnsi="Times"/>
          <w:b/>
        </w:rPr>
        <w:t>.</w:t>
      </w:r>
      <w:r w:rsidRPr="00FC624C">
        <w:rPr>
          <w:rFonts w:ascii="Times" w:hAnsi="Times"/>
        </w:rPr>
        <w:t xml:space="preserve"> </w:t>
      </w:r>
      <w:r w:rsidRPr="00FC624C">
        <w:rPr>
          <w:rFonts w:ascii="Times" w:hAnsi="Times"/>
          <w:color w:val="000000"/>
        </w:rPr>
        <w:t>Number of mismatches between CARD-FISH  probes used in this study (DSS</w:t>
      </w:r>
      <w:r>
        <w:rPr>
          <w:rFonts w:ascii="Times" w:hAnsi="Times"/>
          <w:color w:val="000000"/>
        </w:rPr>
        <w:t>_</w:t>
      </w:r>
      <w:r w:rsidRPr="00FC624C">
        <w:rPr>
          <w:rFonts w:ascii="Times" w:hAnsi="Times"/>
          <w:color w:val="000000"/>
        </w:rPr>
        <w:t>658 and seepDBB</w:t>
      </w:r>
      <w:r>
        <w:rPr>
          <w:rFonts w:ascii="Times" w:hAnsi="Times"/>
          <w:color w:val="000000"/>
        </w:rPr>
        <w:t>_</w:t>
      </w:r>
      <w:r w:rsidRPr="00FC624C">
        <w:rPr>
          <w:rFonts w:ascii="Times" w:hAnsi="Times"/>
          <w:color w:val="000000"/>
        </w:rPr>
        <w:t xml:space="preserve">653) and </w:t>
      </w:r>
      <w:r>
        <w:rPr>
          <w:rFonts w:ascii="Times" w:hAnsi="Times"/>
          <w:color w:val="000000"/>
        </w:rPr>
        <w:t>d</w:t>
      </w:r>
      <w:r w:rsidRPr="00FC624C">
        <w:rPr>
          <w:rFonts w:ascii="Times" w:hAnsi="Times"/>
          <w:color w:val="000000"/>
        </w:rPr>
        <w:t>eltaproteobacterial 16S rRNA sequences detected.  Green indicates the likely targets of each probe: 0 mismatches for DSS</w:t>
      </w:r>
      <w:r>
        <w:rPr>
          <w:rFonts w:ascii="Times" w:hAnsi="Times"/>
          <w:color w:val="000000"/>
        </w:rPr>
        <w:t>_</w:t>
      </w:r>
      <w:r w:rsidRPr="00FC624C">
        <w:rPr>
          <w:rFonts w:ascii="Times" w:hAnsi="Times"/>
          <w:color w:val="000000"/>
        </w:rPr>
        <w:t>658, 0 and 1 mismatches for seepDBB</w:t>
      </w:r>
      <w:r>
        <w:rPr>
          <w:rFonts w:ascii="Times" w:hAnsi="Times"/>
          <w:color w:val="000000"/>
        </w:rPr>
        <w:t>_653 (different cut</w:t>
      </w:r>
      <w:r w:rsidRPr="00FC624C">
        <w:rPr>
          <w:rFonts w:ascii="Times" w:hAnsi="Times"/>
          <w:color w:val="000000"/>
        </w:rPr>
        <w:t>-offs due to the different formamide concentrations in the hybridization reaction</w:t>
      </w:r>
      <w:r>
        <w:rPr>
          <w:rFonts w:ascii="Times" w:hAnsi="Times"/>
          <w:color w:val="000000"/>
        </w:rPr>
        <w:t xml:space="preserve"> </w:t>
      </w:r>
      <w:r w:rsidRPr="00FC624C">
        <w:rPr>
          <w:rFonts w:ascii="Times" w:hAnsi="Times"/>
          <w:color w:val="000000"/>
        </w:rPr>
        <w:t xml:space="preserve">for each). </w:t>
      </w:r>
      <w:r w:rsidR="003E03C7" w:rsidRPr="00CA15B3">
        <w:rPr>
          <w:color w:val="000000"/>
        </w:rPr>
        <w:t xml:space="preserve">Probe DSS658 has been shown to cross-hybridize with probe SEEP2-658, despite 2 differences in the probes (at the second and third </w:t>
      </w:r>
      <w:r w:rsidR="00626A83" w:rsidRPr="00626A83">
        <w:rPr>
          <w:color w:val="000000"/>
        </w:rPr>
        <w:t>positions</w:t>
      </w:r>
      <w:r w:rsidR="003E03C7" w:rsidRPr="00CA15B3">
        <w:rPr>
          <w:color w:val="000000"/>
        </w:rPr>
        <w:t xml:space="preserve"> from the end), suggesting that under some circumstances probe DSS658 may hybridize with sequences containing 2 mismatches (Kleindienst et al 2012). However, no SEEP-SRB2 sequences were detected in this study, and a higher concentration of formamide was used (60% rather than 50%), decreasing the likelihood of unspecific DSS658 binding here.</w:t>
      </w:r>
      <w:r w:rsidR="003E03C7">
        <w:rPr>
          <w:rFonts w:ascii="Calibri" w:hAnsi="Calibri"/>
          <w:color w:val="000000"/>
        </w:rPr>
        <w:t xml:space="preserve"> </w:t>
      </w:r>
      <w:r w:rsidRPr="00FC624C">
        <w:rPr>
          <w:rFonts w:ascii="Times" w:hAnsi="Times"/>
          <w:color w:val="000000"/>
        </w:rPr>
        <w:t>Probe seepDBB</w:t>
      </w:r>
      <w:r>
        <w:rPr>
          <w:rFonts w:ascii="Times" w:hAnsi="Times"/>
          <w:color w:val="000000"/>
        </w:rPr>
        <w:t>_</w:t>
      </w:r>
      <w:r w:rsidRPr="00FC624C">
        <w:rPr>
          <w:rFonts w:ascii="Times" w:hAnsi="Times"/>
          <w:color w:val="000000"/>
        </w:rPr>
        <w:t>653: CTTTCCCCTCCGATACTC. Probe</w:t>
      </w:r>
      <w:r>
        <w:rPr>
          <w:rFonts w:ascii="Times" w:hAnsi="Times"/>
          <w:color w:val="000000"/>
        </w:rPr>
        <w:t xml:space="preserve"> </w:t>
      </w:r>
      <w:r w:rsidRPr="00FC624C">
        <w:rPr>
          <w:rFonts w:ascii="Times" w:hAnsi="Times"/>
          <w:color w:val="000000"/>
        </w:rPr>
        <w:t>DSS</w:t>
      </w:r>
      <w:r>
        <w:rPr>
          <w:rFonts w:ascii="Times" w:hAnsi="Times"/>
          <w:color w:val="000000"/>
        </w:rPr>
        <w:t>_</w:t>
      </w:r>
      <w:r w:rsidRPr="00FC624C">
        <w:rPr>
          <w:rFonts w:ascii="Times" w:hAnsi="Times"/>
          <w:color w:val="000000"/>
        </w:rPr>
        <w:t>658: TCCACTTCCCTCTCCCAT.</w:t>
      </w:r>
    </w:p>
    <w:p w:rsidR="00E65465" w:rsidRPr="00DF5B0D" w:rsidRDefault="00E65465" w:rsidP="00603589">
      <w:pPr>
        <w:spacing w:line="480" w:lineRule="auto"/>
        <w:rPr>
          <w:rFonts w:ascii="Times" w:hAnsi="Times"/>
          <w:color w:val="000000"/>
        </w:rPr>
      </w:pPr>
    </w:p>
    <w:p w:rsidR="00E65465" w:rsidRPr="00DF5B0D" w:rsidRDefault="00E65465" w:rsidP="00603589">
      <w:pPr>
        <w:spacing w:line="480" w:lineRule="auto"/>
        <w:rPr>
          <w:rFonts w:ascii="Times" w:hAnsi="Times"/>
        </w:rPr>
      </w:pPr>
      <w:r w:rsidRPr="00DF5B0D">
        <w:rPr>
          <w:rFonts w:ascii="Times" w:hAnsi="Times"/>
          <w:b/>
        </w:rPr>
        <w:t xml:space="preserve">SI Table </w:t>
      </w:r>
      <w:r w:rsidR="00E751A2">
        <w:rPr>
          <w:rFonts w:ascii="Times" w:hAnsi="Times"/>
          <w:b/>
        </w:rPr>
        <w:t>5</w:t>
      </w:r>
      <w:r w:rsidRPr="00DF5B0D">
        <w:rPr>
          <w:rFonts w:ascii="Times" w:hAnsi="Times"/>
          <w:b/>
        </w:rPr>
        <w:t>.</w:t>
      </w:r>
      <w:r w:rsidRPr="00DF5B0D">
        <w:rPr>
          <w:rFonts w:ascii="Times" w:hAnsi="Times"/>
        </w:rPr>
        <w:t xml:space="preserve"> Major questions addressed by the transcript and NanoSIMS analyses and a comparison of the relevant observations provided by each technique. Observations that are consistent with a positive answer are in green, observations consistent with a negative answer are in red. </w:t>
      </w:r>
    </w:p>
    <w:p w:rsidR="00E65465" w:rsidRDefault="00E65465" w:rsidP="00603589">
      <w:pPr>
        <w:spacing w:line="480" w:lineRule="auto"/>
        <w:rPr>
          <w:rFonts w:ascii="Times" w:hAnsi="Times"/>
          <w:color w:val="000000"/>
        </w:rPr>
      </w:pPr>
    </w:p>
    <w:p w:rsidR="00E65465" w:rsidRPr="00270775" w:rsidRDefault="00E65465" w:rsidP="00603589">
      <w:pPr>
        <w:spacing w:line="480" w:lineRule="auto"/>
      </w:pPr>
      <w:r w:rsidRPr="002F05C2">
        <w:rPr>
          <w:b/>
        </w:rPr>
        <w:t xml:space="preserve">SI Figure </w:t>
      </w:r>
      <w:r>
        <w:rPr>
          <w:b/>
        </w:rPr>
        <w:t>1</w:t>
      </w:r>
      <w:r w:rsidRPr="002F05C2">
        <w:rPr>
          <w:b/>
        </w:rPr>
        <w:t>.</w:t>
      </w:r>
      <w:r>
        <w:t xml:space="preserve"> Persistence of ANME-DSS consortia in the absence of methane.  </w:t>
      </w:r>
      <w:r w:rsidRPr="00270775">
        <w:t xml:space="preserve">Change in </w:t>
      </w:r>
      <w:r>
        <w:t>consortia</w:t>
      </w:r>
      <w:r w:rsidRPr="00270775">
        <w:t xml:space="preserve"> abundance (</w:t>
      </w:r>
      <w:r w:rsidRPr="00EB5707">
        <w:rPr>
          <w:b/>
        </w:rPr>
        <w:t>A</w:t>
      </w:r>
      <w:r w:rsidRPr="00270775">
        <w:t>), composition (</w:t>
      </w:r>
      <w:r w:rsidRPr="00EB5707">
        <w:rPr>
          <w:b/>
        </w:rPr>
        <w:t>B</w:t>
      </w:r>
      <w:r w:rsidRPr="00270775">
        <w:t>), and morphology (</w:t>
      </w:r>
      <w:r w:rsidRPr="00EB5707">
        <w:rPr>
          <w:b/>
        </w:rPr>
        <w:t>C</w:t>
      </w:r>
      <w:r w:rsidRPr="00270775">
        <w:t xml:space="preserve">) </w:t>
      </w:r>
      <w:r>
        <w:t>is shown</w:t>
      </w:r>
      <w:r w:rsidRPr="00270775">
        <w:t xml:space="preserve">. </w:t>
      </w:r>
      <w:r>
        <w:t xml:space="preserve">Consortia </w:t>
      </w:r>
      <w:r w:rsidRPr="00270775">
        <w:t xml:space="preserve">were hybridized </w:t>
      </w:r>
      <w:r>
        <w:t>with FISH probes EelMS_932 (targeting ANME-2) and DSS_</w:t>
      </w:r>
      <w:r w:rsidRPr="00270775">
        <w:t xml:space="preserve">658 (targeting </w:t>
      </w:r>
      <w:r w:rsidRPr="00C5380D">
        <w:rPr>
          <w:i/>
        </w:rPr>
        <w:t>Desulfocarsina/Desulfococcus</w:t>
      </w:r>
      <w:r w:rsidR="0037654F">
        <w:rPr>
          <w:i/>
        </w:rPr>
        <w:t>/Seep-SRB1</w:t>
      </w:r>
      <w:r w:rsidRPr="00270775">
        <w:t xml:space="preserve">). A: Error bars </w:t>
      </w:r>
      <w:r>
        <w:t>are</w:t>
      </w:r>
      <w:r w:rsidRPr="00270775">
        <w:t xml:space="preserve"> one standard deviation</w:t>
      </w:r>
      <w:r>
        <w:t xml:space="preserve"> calculated from triplicate filters</w:t>
      </w:r>
      <w:r w:rsidRPr="00270775">
        <w:t xml:space="preserve">. B and C: Thirty aggregates </w:t>
      </w:r>
      <w:r w:rsidR="00540841" w:rsidRPr="00043726">
        <w:t>from in</w:t>
      </w:r>
      <w:r w:rsidR="00540841" w:rsidRPr="005A743E">
        <w:t>cubation CR</w:t>
      </w:r>
      <w:r w:rsidR="00043726" w:rsidRPr="005A743E">
        <w:t>17</w:t>
      </w:r>
      <w:r w:rsidR="00540841">
        <w:t xml:space="preserve"> </w:t>
      </w:r>
      <w:r w:rsidRPr="00270775">
        <w:t xml:space="preserve">were evaluated for composition and morphology at each time point. </w:t>
      </w:r>
    </w:p>
    <w:p w:rsidR="00E65465" w:rsidRPr="0037242C" w:rsidRDefault="00E65465" w:rsidP="00603589">
      <w:pPr>
        <w:spacing w:line="480" w:lineRule="auto"/>
        <w:rPr>
          <w:rFonts w:ascii="Times" w:hAnsi="Times"/>
          <w:color w:val="000000"/>
        </w:rPr>
      </w:pPr>
    </w:p>
    <w:p w:rsidR="003F4A20" w:rsidRPr="00A924AA" w:rsidRDefault="00E65465" w:rsidP="003F4A20">
      <w:pPr>
        <w:spacing w:line="480" w:lineRule="auto"/>
        <w:rPr>
          <w:rFonts w:ascii="Times" w:hAnsi="Times"/>
          <w:color w:val="000000" w:themeColor="text1"/>
        </w:rPr>
      </w:pPr>
      <w:r w:rsidRPr="002F05C2">
        <w:rPr>
          <w:b/>
        </w:rPr>
        <w:t xml:space="preserve">SI Figure </w:t>
      </w:r>
      <w:r>
        <w:rPr>
          <w:b/>
        </w:rPr>
        <w:t>2</w:t>
      </w:r>
      <w:r w:rsidRPr="002F05C2">
        <w:rPr>
          <w:b/>
        </w:rPr>
        <w:t>.</w:t>
      </w:r>
      <w:r>
        <w:t xml:space="preserve"> </w:t>
      </w:r>
      <w:r w:rsidRPr="003D6114">
        <w:rPr>
          <w:rFonts w:ascii="Times" w:hAnsi="Times"/>
        </w:rPr>
        <w:t xml:space="preserve">Phylogenetic analysis of </w:t>
      </w:r>
      <w:r w:rsidRPr="003D6114">
        <w:rPr>
          <w:rFonts w:ascii="Times" w:hAnsi="Times"/>
          <w:i/>
        </w:rPr>
        <w:t>mcrA</w:t>
      </w:r>
      <w:r w:rsidRPr="003D6114">
        <w:rPr>
          <w:rFonts w:ascii="Times" w:hAnsi="Times"/>
        </w:rPr>
        <w:t xml:space="preserve"> sequences. Deduced amino acid sequences w</w:t>
      </w:r>
      <w:r>
        <w:rPr>
          <w:rFonts w:ascii="Times" w:hAnsi="Times"/>
        </w:rPr>
        <w:t xml:space="preserve">ere aligned using ClustalW and </w:t>
      </w:r>
      <w:r w:rsidRPr="003D6114">
        <w:rPr>
          <w:rFonts w:ascii="Times" w:hAnsi="Times"/>
        </w:rPr>
        <w:t xml:space="preserve">the </w:t>
      </w:r>
      <w:r>
        <w:rPr>
          <w:rFonts w:ascii="Times" w:hAnsi="Times"/>
        </w:rPr>
        <w:t>phylogeny was computed</w:t>
      </w:r>
      <w:r w:rsidRPr="003D6114">
        <w:rPr>
          <w:rFonts w:ascii="Times" w:hAnsi="Times"/>
        </w:rPr>
        <w:t xml:space="preserve"> </w:t>
      </w:r>
      <w:r>
        <w:rPr>
          <w:rFonts w:ascii="Times" w:hAnsi="Times"/>
        </w:rPr>
        <w:t>using</w:t>
      </w:r>
      <w:r w:rsidRPr="003D6114">
        <w:rPr>
          <w:rFonts w:ascii="Times" w:hAnsi="Times"/>
        </w:rPr>
        <w:t xml:space="preserve"> Maximum Likelihood in PhyML.</w:t>
      </w:r>
      <w:r w:rsidRPr="003D6114">
        <w:rPr>
          <w:rFonts w:ascii="Times" w:hAnsi="Times"/>
          <w:i/>
        </w:rPr>
        <w:t xml:space="preserve"> </w:t>
      </w:r>
      <w:r>
        <w:rPr>
          <w:rFonts w:ascii="Times" w:hAnsi="Times"/>
        </w:rPr>
        <w:t>Sequences from this study are in bold. cDNA clones are in color, with clones derived from CH</w:t>
      </w:r>
      <w:r w:rsidRPr="0041262B">
        <w:rPr>
          <w:rFonts w:ascii="Times" w:hAnsi="Times"/>
          <w:vertAlign w:val="subscript"/>
        </w:rPr>
        <w:t>4</w:t>
      </w:r>
      <w:r>
        <w:rPr>
          <w:rFonts w:ascii="Times" w:hAnsi="Times"/>
        </w:rPr>
        <w:t xml:space="preserve"> incubations in red, and Ar incubations in blue. </w:t>
      </w:r>
      <w:r>
        <w:t>Representative sequences are shown; parentheses indicate number of sequences 99.3% similar to the clone shown. SH-like aLRT (approximate Likelihood Ratio Test) branch supports above 0.70 for major branches are shown.</w:t>
      </w:r>
      <w:r w:rsidR="003F4A20">
        <w:t xml:space="preserve"> </w:t>
      </w:r>
      <w:r w:rsidR="003F4A20">
        <w:rPr>
          <w:rFonts w:ascii="Times" w:hAnsi="Times" w:cs="Arial"/>
        </w:rPr>
        <w:t xml:space="preserve">mcrA groups as described by Hallam et al 2003 are indicated.  </w:t>
      </w:r>
      <w:r w:rsidR="00710924">
        <w:rPr>
          <w:rFonts w:ascii="Times" w:hAnsi="Times" w:cs="Arial"/>
        </w:rPr>
        <w:t xml:space="preserve">NCBI accession numbers are shown. </w:t>
      </w:r>
    </w:p>
    <w:p w:rsidR="00E65465" w:rsidRPr="003D6114" w:rsidRDefault="00E65465" w:rsidP="00603589">
      <w:pPr>
        <w:spacing w:line="480" w:lineRule="auto"/>
        <w:rPr>
          <w:rFonts w:ascii="Times" w:hAnsi="Times"/>
        </w:rPr>
      </w:pPr>
    </w:p>
    <w:p w:rsidR="00E65465" w:rsidRPr="00716F97" w:rsidRDefault="00E65465" w:rsidP="00603589">
      <w:pPr>
        <w:spacing w:line="480" w:lineRule="auto"/>
        <w:rPr>
          <w:rFonts w:ascii="Times" w:hAnsi="Times"/>
        </w:rPr>
      </w:pPr>
    </w:p>
    <w:p w:rsidR="003F4A20" w:rsidRPr="00A924AA" w:rsidRDefault="00E65465" w:rsidP="003F4A20">
      <w:pPr>
        <w:spacing w:line="480" w:lineRule="auto"/>
        <w:rPr>
          <w:rFonts w:ascii="Times" w:hAnsi="Times"/>
          <w:color w:val="000000" w:themeColor="text1"/>
        </w:rPr>
      </w:pPr>
      <w:r w:rsidRPr="002F05C2">
        <w:rPr>
          <w:b/>
        </w:rPr>
        <w:t xml:space="preserve">SI Figure </w:t>
      </w:r>
      <w:r>
        <w:rPr>
          <w:b/>
        </w:rPr>
        <w:t>3</w:t>
      </w:r>
      <w:r w:rsidRPr="002F05C2">
        <w:rPr>
          <w:b/>
        </w:rPr>
        <w:t>.</w:t>
      </w:r>
      <w:r>
        <w:t xml:space="preserve"> </w:t>
      </w:r>
      <w:r w:rsidRPr="003D6114">
        <w:rPr>
          <w:rFonts w:ascii="Times" w:hAnsi="Times"/>
        </w:rPr>
        <w:t xml:space="preserve">Phylogenetic analysis of </w:t>
      </w:r>
      <w:r>
        <w:rPr>
          <w:rFonts w:ascii="Times" w:hAnsi="Times"/>
          <w:i/>
        </w:rPr>
        <w:t>apr</w:t>
      </w:r>
      <w:r w:rsidRPr="003D6114">
        <w:rPr>
          <w:rFonts w:ascii="Times" w:hAnsi="Times"/>
          <w:i/>
        </w:rPr>
        <w:t>A</w:t>
      </w:r>
      <w:r w:rsidRPr="003D6114">
        <w:rPr>
          <w:rFonts w:ascii="Times" w:hAnsi="Times"/>
        </w:rPr>
        <w:t xml:space="preserve"> sequences. Deduced amino acid sequences w</w:t>
      </w:r>
      <w:r>
        <w:rPr>
          <w:rFonts w:ascii="Times" w:hAnsi="Times"/>
        </w:rPr>
        <w:t xml:space="preserve">ere aligned in Arb with MUSCLE, and </w:t>
      </w:r>
      <w:r w:rsidRPr="003D6114">
        <w:rPr>
          <w:rFonts w:ascii="Times" w:hAnsi="Times"/>
        </w:rPr>
        <w:t xml:space="preserve">the </w:t>
      </w:r>
      <w:r>
        <w:rPr>
          <w:rFonts w:ascii="Times" w:hAnsi="Times"/>
        </w:rPr>
        <w:t>phylogeny was computed</w:t>
      </w:r>
      <w:r w:rsidRPr="003D6114">
        <w:rPr>
          <w:rFonts w:ascii="Times" w:hAnsi="Times"/>
        </w:rPr>
        <w:t xml:space="preserve"> </w:t>
      </w:r>
      <w:r>
        <w:rPr>
          <w:rFonts w:ascii="Times" w:hAnsi="Times"/>
        </w:rPr>
        <w:t>using MrBayes</w:t>
      </w:r>
      <w:r w:rsidRPr="003D6114">
        <w:rPr>
          <w:rFonts w:ascii="Times" w:hAnsi="Times"/>
        </w:rPr>
        <w:t>.</w:t>
      </w:r>
      <w:r w:rsidRPr="003D6114">
        <w:rPr>
          <w:rFonts w:ascii="Times" w:hAnsi="Times"/>
          <w:i/>
        </w:rPr>
        <w:t xml:space="preserve"> </w:t>
      </w:r>
      <w:r>
        <w:rPr>
          <w:rFonts w:ascii="Times" w:hAnsi="Times"/>
        </w:rPr>
        <w:t>Sequences from this study are in bold. cDNA clones are in color, with clones derived from CH</w:t>
      </w:r>
      <w:r w:rsidRPr="0041262B">
        <w:rPr>
          <w:rFonts w:ascii="Times" w:hAnsi="Times"/>
          <w:vertAlign w:val="subscript"/>
        </w:rPr>
        <w:t>4</w:t>
      </w:r>
      <w:r>
        <w:rPr>
          <w:rFonts w:ascii="Times" w:hAnsi="Times"/>
        </w:rPr>
        <w:t xml:space="preserve"> incubations in red, and Ar incubations in blue. </w:t>
      </w:r>
      <w:r w:rsidRPr="00804D5F">
        <w:rPr>
          <w:rFonts w:ascii="Times" w:hAnsi="Times"/>
        </w:rPr>
        <w:t xml:space="preserve">Parentheses include the number of sequences a clone represents. </w:t>
      </w:r>
      <w:r>
        <w:t xml:space="preserve">Branch supports as posterior probabilities are shown. </w:t>
      </w:r>
      <w:r w:rsidR="003F4A20">
        <w:rPr>
          <w:rFonts w:ascii="Times" w:hAnsi="Times" w:cs="Arial"/>
        </w:rPr>
        <w:t xml:space="preserve">aprA groups as described by Meyer and Kuever 2007 are indicated.  </w:t>
      </w:r>
      <w:r w:rsidR="005973B7">
        <w:rPr>
          <w:rFonts w:ascii="Times" w:hAnsi="Times" w:cs="Arial"/>
        </w:rPr>
        <w:t>NCBI accession numbers are shown</w:t>
      </w:r>
      <w:r w:rsidR="005973B7" w:rsidRPr="00CA15B3">
        <w:t>, except for the following (whose numbers are not included on the tree due to space constraints): CH4-DNA-aprA-67</w:t>
      </w:r>
      <w:r w:rsidR="00710924" w:rsidRPr="00CA15B3">
        <w:t xml:space="preserve"> (</w:t>
      </w:r>
      <w:r w:rsidR="00710924" w:rsidRPr="00CA15B3">
        <w:rPr>
          <w:color w:val="000000"/>
        </w:rPr>
        <w:t>KR812973)</w:t>
      </w:r>
      <w:r w:rsidR="005973B7" w:rsidRPr="00CA15B3">
        <w:t>, Ar-cDNA-aprA-75</w:t>
      </w:r>
      <w:r w:rsidR="00710924" w:rsidRPr="00CA15B3">
        <w:t xml:space="preserve"> (</w:t>
      </w:r>
      <w:r w:rsidR="00710924" w:rsidRPr="00CA15B3">
        <w:rPr>
          <w:color w:val="000000"/>
        </w:rPr>
        <w:t>KR812891)</w:t>
      </w:r>
      <w:r w:rsidR="005973B7" w:rsidRPr="00CA15B3">
        <w:t>, Ar-cDNA-aprA-96</w:t>
      </w:r>
      <w:r w:rsidR="00710924" w:rsidRPr="00CA15B3">
        <w:t xml:space="preserve"> (</w:t>
      </w:r>
      <w:r w:rsidR="00710924" w:rsidRPr="00CA15B3">
        <w:rPr>
          <w:color w:val="000000"/>
        </w:rPr>
        <w:t>KR812908)</w:t>
      </w:r>
      <w:r w:rsidR="005973B7" w:rsidRPr="00CA15B3">
        <w:t>, CH4-cDNA-aprA-84</w:t>
      </w:r>
      <w:r w:rsidR="00710924" w:rsidRPr="00CA15B3">
        <w:t xml:space="preserve"> (</w:t>
      </w:r>
      <w:r w:rsidR="00710924" w:rsidRPr="00CA15B3">
        <w:rPr>
          <w:color w:val="000000"/>
        </w:rPr>
        <w:t>KR812810)</w:t>
      </w:r>
      <w:r w:rsidR="00C27F70" w:rsidRPr="00CA15B3">
        <w:t>, Ar-DNA-aprA-mD12</w:t>
      </w:r>
      <w:r w:rsidR="00710924" w:rsidRPr="00CA15B3">
        <w:t xml:space="preserve"> (</w:t>
      </w:r>
      <w:r w:rsidR="00710924" w:rsidRPr="00CA15B3">
        <w:rPr>
          <w:color w:val="000000"/>
        </w:rPr>
        <w:t>KR813014)</w:t>
      </w:r>
      <w:r w:rsidR="00C27F70" w:rsidRPr="00CA15B3">
        <w:t>, CH4-DNA-aprA-29</w:t>
      </w:r>
      <w:r w:rsidR="00710924" w:rsidRPr="00CA15B3">
        <w:t xml:space="preserve"> (</w:t>
      </w:r>
      <w:r w:rsidR="00710924" w:rsidRPr="00CA15B3">
        <w:rPr>
          <w:color w:val="000000"/>
        </w:rPr>
        <w:t>KR812937)</w:t>
      </w:r>
      <w:r w:rsidR="00C27F70" w:rsidRPr="00CA15B3">
        <w:t>, Ar-cDNAaprA-40</w:t>
      </w:r>
      <w:r w:rsidR="00710924" w:rsidRPr="00CA15B3">
        <w:t xml:space="preserve"> (</w:t>
      </w:r>
      <w:r w:rsidR="00710924" w:rsidRPr="00CA15B3">
        <w:rPr>
          <w:color w:val="000000"/>
        </w:rPr>
        <w:t>KR812858)</w:t>
      </w:r>
      <w:r w:rsidR="00C27F70" w:rsidRPr="00CA15B3">
        <w:t>, Ar-cDNA-aprA-71</w:t>
      </w:r>
      <w:r w:rsidR="00710924" w:rsidRPr="00CA15B3">
        <w:t xml:space="preserve"> (</w:t>
      </w:r>
      <w:r w:rsidR="00710924" w:rsidRPr="00CA15B3">
        <w:rPr>
          <w:color w:val="000000"/>
        </w:rPr>
        <w:t>KR812888)</w:t>
      </w:r>
      <w:r w:rsidR="00C27F70" w:rsidRPr="00CA15B3">
        <w:t xml:space="preserve">, </w:t>
      </w:r>
      <w:r w:rsidR="00710924">
        <w:t xml:space="preserve">and </w:t>
      </w:r>
      <w:r w:rsidR="00C27F70" w:rsidRPr="00CA15B3">
        <w:t>Ar-cDNA-aprA-16</w:t>
      </w:r>
      <w:r w:rsidR="00710924" w:rsidRPr="00CA15B3">
        <w:t xml:space="preserve"> (</w:t>
      </w:r>
      <w:r w:rsidR="00710924" w:rsidRPr="00CA15B3">
        <w:rPr>
          <w:color w:val="000000"/>
        </w:rPr>
        <w:t>KR812835)</w:t>
      </w:r>
      <w:r w:rsidR="00C27F70" w:rsidRPr="00CA15B3">
        <w:t>.</w:t>
      </w:r>
      <w:r w:rsidR="00C27F70">
        <w:rPr>
          <w:rFonts w:ascii="Times" w:hAnsi="Times" w:cs="Arial"/>
        </w:rPr>
        <w:t xml:space="preserve"> </w:t>
      </w:r>
    </w:p>
    <w:p w:rsidR="00E65465" w:rsidRDefault="00E65465" w:rsidP="00603589">
      <w:pPr>
        <w:spacing w:line="480" w:lineRule="auto"/>
      </w:pPr>
    </w:p>
    <w:p w:rsidR="00B464E1" w:rsidRDefault="00B464E1" w:rsidP="00CA15B3">
      <w:pPr>
        <w:spacing w:line="480" w:lineRule="auto"/>
      </w:pPr>
      <w:r>
        <w:t xml:space="preserve">SI Figure 4. Phylogenetic analysis of 16S rRNA genes </w:t>
      </w:r>
      <w:r w:rsidR="00A12712">
        <w:t>of all clones recovered in this study that affiliate</w:t>
      </w:r>
      <w:r>
        <w:t xml:space="preserve"> with </w:t>
      </w:r>
      <w:r w:rsidR="00A12712">
        <w:t xml:space="preserve">or near </w:t>
      </w:r>
      <w:r>
        <w:t xml:space="preserve">Seep-SRB3 and the </w:t>
      </w:r>
      <w:r w:rsidR="00A12712">
        <w:t>previously reported ANME-3 partner (</w:t>
      </w:r>
      <w:r w:rsidR="00A12712">
        <w:rPr>
          <w:noProof/>
        </w:rPr>
        <w:t>Lösekann et al 2007, Niemann et al 2006).</w:t>
      </w:r>
      <w:r>
        <w:t xml:space="preserve"> </w:t>
      </w:r>
      <w:r w:rsidR="00A12712">
        <w:t>T</w:t>
      </w:r>
      <w:r>
        <w:t xml:space="preserve">ree </w:t>
      </w:r>
      <w:r w:rsidR="00A12712">
        <w:t xml:space="preserve">was </w:t>
      </w:r>
      <w:r>
        <w:t>inferred with Maximum Likelihood, HKY evolutionary model and 100 bootstraps. Sequences from this study are in bold. cDNA clones derived from CH</w:t>
      </w:r>
      <w:r w:rsidRPr="00CA15B3">
        <w:rPr>
          <w:vertAlign w:val="subscript"/>
        </w:rPr>
        <w:t>4</w:t>
      </w:r>
      <w:r>
        <w:t xml:space="preserve"> incubations in red, and Ar incubations in blue. All bootstrap support values are shown on the nodes that separate the clades of interest. Scale bar represents 0.10 substitutions per site and 1271 nucleotides were used to infer the tree. Asterisk indicates shorter sequences (807 and 848 bp) that were inserted by parsimony. NCBI accession numbers are shown.</w:t>
      </w:r>
    </w:p>
    <w:p w:rsidR="005A743E" w:rsidRDefault="005A743E" w:rsidP="005A743E">
      <w:pPr>
        <w:spacing w:line="480" w:lineRule="auto"/>
        <w:rPr>
          <w:b/>
        </w:rPr>
      </w:pPr>
    </w:p>
    <w:p w:rsidR="005A743E" w:rsidRDefault="005A743E" w:rsidP="005A743E">
      <w:pPr>
        <w:spacing w:line="480" w:lineRule="auto"/>
      </w:pPr>
      <w:r>
        <w:rPr>
          <w:b/>
        </w:rPr>
        <w:t xml:space="preserve">SI </w:t>
      </w:r>
      <w:r w:rsidRPr="002F05C2">
        <w:rPr>
          <w:b/>
        </w:rPr>
        <w:t xml:space="preserve">Figure </w:t>
      </w:r>
      <w:r w:rsidR="00B464E1">
        <w:rPr>
          <w:b/>
        </w:rPr>
        <w:t>5</w:t>
      </w:r>
      <w:r w:rsidRPr="002F05C2">
        <w:rPr>
          <w:b/>
        </w:rPr>
        <w:t>.</w:t>
      </w:r>
      <w:r>
        <w:t xml:space="preserve"> NanoSIMS analysis of </w:t>
      </w:r>
      <w:r w:rsidRPr="009C5A75">
        <w:rPr>
          <w:vertAlign w:val="superscript"/>
        </w:rPr>
        <w:t>15</w:t>
      </w:r>
      <w:r w:rsidRPr="009C5A75">
        <w:t>N-</w:t>
      </w:r>
      <w:r>
        <w:t>assimilation</w:t>
      </w:r>
      <w:r w:rsidRPr="009C5A75">
        <w:t xml:space="preserve"> from </w:t>
      </w:r>
      <w:r w:rsidRPr="009C5A75">
        <w:rPr>
          <w:vertAlign w:val="superscript"/>
        </w:rPr>
        <w:t>15</w:t>
      </w:r>
      <w:r w:rsidRPr="009C5A75">
        <w:t>N</w:t>
      </w:r>
      <w:r w:rsidRPr="009C5A75">
        <w:rPr>
          <w:vertAlign w:val="subscript"/>
        </w:rPr>
        <w:t>2</w:t>
      </w:r>
      <w:r w:rsidRPr="009C5A75">
        <w:t xml:space="preserve"> (panel </w:t>
      </w:r>
      <w:r w:rsidRPr="00B678A6">
        <w:rPr>
          <w:b/>
        </w:rPr>
        <w:t>A</w:t>
      </w:r>
      <w:r w:rsidRPr="009C5A75">
        <w:t xml:space="preserve">, left axis) or </w:t>
      </w:r>
      <w:r w:rsidRPr="009C5A75">
        <w:rPr>
          <w:vertAlign w:val="superscript"/>
        </w:rPr>
        <w:t>15</w:t>
      </w:r>
      <w:r w:rsidRPr="009C5A75">
        <w:t>NH</w:t>
      </w:r>
      <w:r w:rsidRPr="009C5A75">
        <w:rPr>
          <w:vertAlign w:val="subscript"/>
        </w:rPr>
        <w:t>4</w:t>
      </w:r>
      <w:r w:rsidRPr="009C5A75">
        <w:rPr>
          <w:vertAlign w:val="superscript"/>
        </w:rPr>
        <w:t>+</w:t>
      </w:r>
      <w:r w:rsidRPr="009C5A75">
        <w:t xml:space="preserve"> (panel </w:t>
      </w:r>
      <w:r w:rsidRPr="00B678A6">
        <w:rPr>
          <w:b/>
        </w:rPr>
        <w:t>B</w:t>
      </w:r>
      <w:r>
        <w:t>, right axis) in ANME-2-</w:t>
      </w:r>
      <w:r w:rsidRPr="009C5A75">
        <w:t xml:space="preserve">DSS </w:t>
      </w:r>
      <w:r>
        <w:t>consortia</w:t>
      </w:r>
      <w:r w:rsidRPr="009C5A75">
        <w:t xml:space="preserve"> and ANME-1 single cells </w:t>
      </w:r>
      <w:r>
        <w:t>recovered from</w:t>
      </w:r>
      <w:r w:rsidRPr="00180C4F">
        <w:t xml:space="preserve"> </w:t>
      </w:r>
      <w:r w:rsidRPr="009C5A75">
        <w:t xml:space="preserve">Eel River </w:t>
      </w:r>
      <w:r>
        <w:t xml:space="preserve">Basin </w:t>
      </w:r>
      <w:r w:rsidRPr="009C5A75">
        <w:t>methane seep sediment</w:t>
      </w:r>
      <w:r>
        <w:t xml:space="preserve"> after incubation with CH</w:t>
      </w:r>
      <w:r w:rsidRPr="009C5A75">
        <w:rPr>
          <w:vertAlign w:val="subscript"/>
        </w:rPr>
        <w:t>4</w:t>
      </w:r>
      <w:r w:rsidRPr="009C5A75">
        <w:t xml:space="preserve">. </w:t>
      </w:r>
      <w:r w:rsidRPr="00277406">
        <w:rPr>
          <w:vertAlign w:val="superscript"/>
        </w:rPr>
        <w:t>‡</w:t>
      </w:r>
      <w:r>
        <w:t>D</w:t>
      </w:r>
      <w:r w:rsidRPr="00180C4F">
        <w:t xml:space="preserve">ata </w:t>
      </w:r>
      <w:r w:rsidRPr="009C5A75">
        <w:t xml:space="preserve">previously published in </w:t>
      </w:r>
      <w:r>
        <w:rPr>
          <w:noProof/>
        </w:rPr>
        <w:t>(Dekas et al 2009)</w:t>
      </w:r>
      <w:r>
        <w:t>, re-displayed here for comparison</w:t>
      </w:r>
      <w:r w:rsidRPr="009C5A75">
        <w:t>. The dashed line</w:t>
      </w:r>
      <w:r>
        <w:t>s indicate</w:t>
      </w:r>
      <w:r w:rsidRPr="009C5A75">
        <w:t xml:space="preserve"> natural abundance</w:t>
      </w:r>
      <w:r>
        <w:t xml:space="preserve"> atom % </w:t>
      </w:r>
      <w:r w:rsidRPr="007C0170">
        <w:rPr>
          <w:vertAlign w:val="superscript"/>
        </w:rPr>
        <w:t>15</w:t>
      </w:r>
      <w:r>
        <w:t>N</w:t>
      </w:r>
      <w:r w:rsidRPr="009C5A75">
        <w:t xml:space="preserve">. </w:t>
      </w:r>
    </w:p>
    <w:p w:rsidR="00E65465" w:rsidRDefault="00E65465" w:rsidP="00603589">
      <w:pPr>
        <w:spacing w:line="480" w:lineRule="auto"/>
      </w:pPr>
    </w:p>
    <w:p w:rsidR="00E65465" w:rsidRPr="00D37277" w:rsidRDefault="00E65465" w:rsidP="00603589">
      <w:pPr>
        <w:spacing w:line="480" w:lineRule="auto"/>
      </w:pPr>
    </w:p>
    <w:p w:rsidR="00BF7EA1" w:rsidRDefault="00BF7EA1"/>
    <w:sectPr w:rsidR="00BF7EA1" w:rsidSect="00CA15B3">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007D5"/>
    <w:multiLevelType w:val="multilevel"/>
    <w:tmpl w:val="4EB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1&lt;/Suspended&gt;&lt;/ENInstantFormat&gt;"/>
  </w:docVars>
  <w:rsids>
    <w:rsidRoot w:val="00E65465"/>
    <w:rsid w:val="00002B45"/>
    <w:rsid w:val="00002BBF"/>
    <w:rsid w:val="00004A9C"/>
    <w:rsid w:val="00007DC3"/>
    <w:rsid w:val="0001145C"/>
    <w:rsid w:val="000136EC"/>
    <w:rsid w:val="000161BD"/>
    <w:rsid w:val="000246BF"/>
    <w:rsid w:val="000328B9"/>
    <w:rsid w:val="00037C91"/>
    <w:rsid w:val="00043726"/>
    <w:rsid w:val="0004674A"/>
    <w:rsid w:val="00046FF8"/>
    <w:rsid w:val="00051FD2"/>
    <w:rsid w:val="00056C7D"/>
    <w:rsid w:val="00060428"/>
    <w:rsid w:val="0008266B"/>
    <w:rsid w:val="00093705"/>
    <w:rsid w:val="00093DFD"/>
    <w:rsid w:val="000974CF"/>
    <w:rsid w:val="000A5C2D"/>
    <w:rsid w:val="000B3485"/>
    <w:rsid w:val="000C1A68"/>
    <w:rsid w:val="000C3846"/>
    <w:rsid w:val="000C6B77"/>
    <w:rsid w:val="000C774D"/>
    <w:rsid w:val="000E2DC5"/>
    <w:rsid w:val="000E4300"/>
    <w:rsid w:val="000E4447"/>
    <w:rsid w:val="000E473F"/>
    <w:rsid w:val="000E7CD6"/>
    <w:rsid w:val="000F4BA9"/>
    <w:rsid w:val="000F6218"/>
    <w:rsid w:val="0010131F"/>
    <w:rsid w:val="00101FE0"/>
    <w:rsid w:val="001072FD"/>
    <w:rsid w:val="0012223D"/>
    <w:rsid w:val="00127CEB"/>
    <w:rsid w:val="001307FB"/>
    <w:rsid w:val="00130A16"/>
    <w:rsid w:val="00132640"/>
    <w:rsid w:val="001347D2"/>
    <w:rsid w:val="00135EE8"/>
    <w:rsid w:val="00145F96"/>
    <w:rsid w:val="00146346"/>
    <w:rsid w:val="00150A80"/>
    <w:rsid w:val="0015595D"/>
    <w:rsid w:val="00172B8B"/>
    <w:rsid w:val="00177983"/>
    <w:rsid w:val="00191736"/>
    <w:rsid w:val="00195173"/>
    <w:rsid w:val="001A0342"/>
    <w:rsid w:val="001A743A"/>
    <w:rsid w:val="001D14B6"/>
    <w:rsid w:val="001D18C4"/>
    <w:rsid w:val="001D6ED3"/>
    <w:rsid w:val="00221D81"/>
    <w:rsid w:val="00226206"/>
    <w:rsid w:val="002318CF"/>
    <w:rsid w:val="0023452E"/>
    <w:rsid w:val="00235E18"/>
    <w:rsid w:val="00256298"/>
    <w:rsid w:val="00260C9F"/>
    <w:rsid w:val="00283393"/>
    <w:rsid w:val="00286C6B"/>
    <w:rsid w:val="002B7777"/>
    <w:rsid w:val="002B7E6B"/>
    <w:rsid w:val="002C64FE"/>
    <w:rsid w:val="002D16EC"/>
    <w:rsid w:val="002D5299"/>
    <w:rsid w:val="002E0D64"/>
    <w:rsid w:val="002E4067"/>
    <w:rsid w:val="002E460A"/>
    <w:rsid w:val="002F0111"/>
    <w:rsid w:val="003060F7"/>
    <w:rsid w:val="00306641"/>
    <w:rsid w:val="00321CE0"/>
    <w:rsid w:val="00326D8B"/>
    <w:rsid w:val="0033390A"/>
    <w:rsid w:val="00337315"/>
    <w:rsid w:val="00345A5B"/>
    <w:rsid w:val="00355C7F"/>
    <w:rsid w:val="00363D29"/>
    <w:rsid w:val="0036767E"/>
    <w:rsid w:val="0037044E"/>
    <w:rsid w:val="0037654F"/>
    <w:rsid w:val="00386CC2"/>
    <w:rsid w:val="003A2028"/>
    <w:rsid w:val="003A39D3"/>
    <w:rsid w:val="003A3B65"/>
    <w:rsid w:val="003B3FA3"/>
    <w:rsid w:val="003B4D63"/>
    <w:rsid w:val="003D6415"/>
    <w:rsid w:val="003E03C7"/>
    <w:rsid w:val="003F4A20"/>
    <w:rsid w:val="00400FCB"/>
    <w:rsid w:val="00405A36"/>
    <w:rsid w:val="00407AEE"/>
    <w:rsid w:val="00411DD9"/>
    <w:rsid w:val="00417E11"/>
    <w:rsid w:val="00426821"/>
    <w:rsid w:val="004314BA"/>
    <w:rsid w:val="00437118"/>
    <w:rsid w:val="00451499"/>
    <w:rsid w:val="00460D05"/>
    <w:rsid w:val="00480F78"/>
    <w:rsid w:val="00482E27"/>
    <w:rsid w:val="004C182D"/>
    <w:rsid w:val="004D0855"/>
    <w:rsid w:val="004F715E"/>
    <w:rsid w:val="005016E5"/>
    <w:rsid w:val="00511E24"/>
    <w:rsid w:val="005164A9"/>
    <w:rsid w:val="00516A68"/>
    <w:rsid w:val="005303CB"/>
    <w:rsid w:val="00540841"/>
    <w:rsid w:val="005409D4"/>
    <w:rsid w:val="005522D7"/>
    <w:rsid w:val="00557AF4"/>
    <w:rsid w:val="0056222E"/>
    <w:rsid w:val="00564396"/>
    <w:rsid w:val="0056753F"/>
    <w:rsid w:val="00573C40"/>
    <w:rsid w:val="005754AC"/>
    <w:rsid w:val="00584388"/>
    <w:rsid w:val="005860D3"/>
    <w:rsid w:val="00586E80"/>
    <w:rsid w:val="00590156"/>
    <w:rsid w:val="00593139"/>
    <w:rsid w:val="005957FD"/>
    <w:rsid w:val="005973B7"/>
    <w:rsid w:val="005A1AAD"/>
    <w:rsid w:val="005A2611"/>
    <w:rsid w:val="005A499B"/>
    <w:rsid w:val="005A743E"/>
    <w:rsid w:val="005B4009"/>
    <w:rsid w:val="005B6F9A"/>
    <w:rsid w:val="005C22AC"/>
    <w:rsid w:val="005C3EFC"/>
    <w:rsid w:val="005C6EDA"/>
    <w:rsid w:val="005D2A7F"/>
    <w:rsid w:val="005D4E8E"/>
    <w:rsid w:val="005E2F84"/>
    <w:rsid w:val="005E5D3F"/>
    <w:rsid w:val="005F4191"/>
    <w:rsid w:val="005F72FC"/>
    <w:rsid w:val="005F739A"/>
    <w:rsid w:val="00603589"/>
    <w:rsid w:val="00605361"/>
    <w:rsid w:val="0061048A"/>
    <w:rsid w:val="006116A0"/>
    <w:rsid w:val="006231D9"/>
    <w:rsid w:val="00624516"/>
    <w:rsid w:val="00626A83"/>
    <w:rsid w:val="0063197B"/>
    <w:rsid w:val="00637561"/>
    <w:rsid w:val="0064056A"/>
    <w:rsid w:val="00641916"/>
    <w:rsid w:val="00643C31"/>
    <w:rsid w:val="0067440B"/>
    <w:rsid w:val="0069303D"/>
    <w:rsid w:val="006942FC"/>
    <w:rsid w:val="00697146"/>
    <w:rsid w:val="006A2E34"/>
    <w:rsid w:val="006A5680"/>
    <w:rsid w:val="006A5803"/>
    <w:rsid w:val="006B79FB"/>
    <w:rsid w:val="006C0F96"/>
    <w:rsid w:val="006C1860"/>
    <w:rsid w:val="006C243B"/>
    <w:rsid w:val="006E0029"/>
    <w:rsid w:val="006E17BB"/>
    <w:rsid w:val="00710924"/>
    <w:rsid w:val="00712B03"/>
    <w:rsid w:val="007275B3"/>
    <w:rsid w:val="00734207"/>
    <w:rsid w:val="00735258"/>
    <w:rsid w:val="0073581A"/>
    <w:rsid w:val="00735AD2"/>
    <w:rsid w:val="007459B4"/>
    <w:rsid w:val="00747B82"/>
    <w:rsid w:val="00765901"/>
    <w:rsid w:val="0077280D"/>
    <w:rsid w:val="007804B2"/>
    <w:rsid w:val="00783EA5"/>
    <w:rsid w:val="00790F53"/>
    <w:rsid w:val="00793928"/>
    <w:rsid w:val="0079524A"/>
    <w:rsid w:val="007B63A7"/>
    <w:rsid w:val="007C15D2"/>
    <w:rsid w:val="007C524F"/>
    <w:rsid w:val="007C77FA"/>
    <w:rsid w:val="007D5460"/>
    <w:rsid w:val="007E21B5"/>
    <w:rsid w:val="007E45DE"/>
    <w:rsid w:val="007E5052"/>
    <w:rsid w:val="007F6B80"/>
    <w:rsid w:val="00816DEC"/>
    <w:rsid w:val="00824BE2"/>
    <w:rsid w:val="00835A17"/>
    <w:rsid w:val="00856766"/>
    <w:rsid w:val="0086115F"/>
    <w:rsid w:val="00862D30"/>
    <w:rsid w:val="00864C86"/>
    <w:rsid w:val="00864F15"/>
    <w:rsid w:val="00865BD1"/>
    <w:rsid w:val="00872345"/>
    <w:rsid w:val="00877F6C"/>
    <w:rsid w:val="00884DCF"/>
    <w:rsid w:val="008915F4"/>
    <w:rsid w:val="00891962"/>
    <w:rsid w:val="008959A0"/>
    <w:rsid w:val="008C1382"/>
    <w:rsid w:val="008E634B"/>
    <w:rsid w:val="008F14DF"/>
    <w:rsid w:val="008F4832"/>
    <w:rsid w:val="00902ADE"/>
    <w:rsid w:val="00912578"/>
    <w:rsid w:val="00913216"/>
    <w:rsid w:val="00914C75"/>
    <w:rsid w:val="009163C6"/>
    <w:rsid w:val="00924EDE"/>
    <w:rsid w:val="00940E0A"/>
    <w:rsid w:val="0097066D"/>
    <w:rsid w:val="00972F40"/>
    <w:rsid w:val="00983E0E"/>
    <w:rsid w:val="00987D8B"/>
    <w:rsid w:val="00992723"/>
    <w:rsid w:val="009A4875"/>
    <w:rsid w:val="009B2902"/>
    <w:rsid w:val="009B4BCC"/>
    <w:rsid w:val="009B5D55"/>
    <w:rsid w:val="009D5B34"/>
    <w:rsid w:val="009D65AB"/>
    <w:rsid w:val="009D6A40"/>
    <w:rsid w:val="009F5EA4"/>
    <w:rsid w:val="00A03941"/>
    <w:rsid w:val="00A04329"/>
    <w:rsid w:val="00A12712"/>
    <w:rsid w:val="00A15579"/>
    <w:rsid w:val="00A16503"/>
    <w:rsid w:val="00A312B0"/>
    <w:rsid w:val="00A32C33"/>
    <w:rsid w:val="00A40E4E"/>
    <w:rsid w:val="00A44117"/>
    <w:rsid w:val="00A46648"/>
    <w:rsid w:val="00A50D31"/>
    <w:rsid w:val="00A50F15"/>
    <w:rsid w:val="00A50FF3"/>
    <w:rsid w:val="00A558AF"/>
    <w:rsid w:val="00A623C6"/>
    <w:rsid w:val="00A65491"/>
    <w:rsid w:val="00A665EF"/>
    <w:rsid w:val="00A82A56"/>
    <w:rsid w:val="00A83036"/>
    <w:rsid w:val="00A97AB7"/>
    <w:rsid w:val="00AB2696"/>
    <w:rsid w:val="00AB7C3C"/>
    <w:rsid w:val="00AC378C"/>
    <w:rsid w:val="00AC6C13"/>
    <w:rsid w:val="00AC7D80"/>
    <w:rsid w:val="00AD051E"/>
    <w:rsid w:val="00AD7EDB"/>
    <w:rsid w:val="00AE0DBB"/>
    <w:rsid w:val="00AE2558"/>
    <w:rsid w:val="00AE3544"/>
    <w:rsid w:val="00AF575F"/>
    <w:rsid w:val="00AF774C"/>
    <w:rsid w:val="00AF7D3D"/>
    <w:rsid w:val="00B00E3D"/>
    <w:rsid w:val="00B034EA"/>
    <w:rsid w:val="00B141DB"/>
    <w:rsid w:val="00B1634D"/>
    <w:rsid w:val="00B1704B"/>
    <w:rsid w:val="00B23B41"/>
    <w:rsid w:val="00B25BAB"/>
    <w:rsid w:val="00B30926"/>
    <w:rsid w:val="00B40DC0"/>
    <w:rsid w:val="00B45558"/>
    <w:rsid w:val="00B464E1"/>
    <w:rsid w:val="00B47B07"/>
    <w:rsid w:val="00B56BFF"/>
    <w:rsid w:val="00B62D2B"/>
    <w:rsid w:val="00B8250D"/>
    <w:rsid w:val="00B972D1"/>
    <w:rsid w:val="00BA68F3"/>
    <w:rsid w:val="00BB34F1"/>
    <w:rsid w:val="00BB6524"/>
    <w:rsid w:val="00BC7464"/>
    <w:rsid w:val="00BD0A2B"/>
    <w:rsid w:val="00BD52FD"/>
    <w:rsid w:val="00BE2FA9"/>
    <w:rsid w:val="00BF3097"/>
    <w:rsid w:val="00BF7EA1"/>
    <w:rsid w:val="00C04FC4"/>
    <w:rsid w:val="00C1052F"/>
    <w:rsid w:val="00C1586B"/>
    <w:rsid w:val="00C15F94"/>
    <w:rsid w:val="00C17BD7"/>
    <w:rsid w:val="00C208B1"/>
    <w:rsid w:val="00C27B15"/>
    <w:rsid w:val="00C27F70"/>
    <w:rsid w:val="00C3380E"/>
    <w:rsid w:val="00C45F96"/>
    <w:rsid w:val="00C55AA3"/>
    <w:rsid w:val="00C5630B"/>
    <w:rsid w:val="00C573CE"/>
    <w:rsid w:val="00C6452A"/>
    <w:rsid w:val="00C91B63"/>
    <w:rsid w:val="00C9315D"/>
    <w:rsid w:val="00C95C2B"/>
    <w:rsid w:val="00CA15B3"/>
    <w:rsid w:val="00CA6908"/>
    <w:rsid w:val="00CB6521"/>
    <w:rsid w:val="00CB757E"/>
    <w:rsid w:val="00CC055E"/>
    <w:rsid w:val="00CE36D6"/>
    <w:rsid w:val="00CE5356"/>
    <w:rsid w:val="00CE748B"/>
    <w:rsid w:val="00CF17B0"/>
    <w:rsid w:val="00CF2301"/>
    <w:rsid w:val="00CF3CBE"/>
    <w:rsid w:val="00D043F4"/>
    <w:rsid w:val="00D06196"/>
    <w:rsid w:val="00D07F58"/>
    <w:rsid w:val="00D10EE5"/>
    <w:rsid w:val="00D24672"/>
    <w:rsid w:val="00D322E6"/>
    <w:rsid w:val="00D3412E"/>
    <w:rsid w:val="00D4095A"/>
    <w:rsid w:val="00D41B55"/>
    <w:rsid w:val="00D42673"/>
    <w:rsid w:val="00D43F95"/>
    <w:rsid w:val="00D45E96"/>
    <w:rsid w:val="00D47DF3"/>
    <w:rsid w:val="00D50586"/>
    <w:rsid w:val="00D5201B"/>
    <w:rsid w:val="00D80781"/>
    <w:rsid w:val="00D930CE"/>
    <w:rsid w:val="00D93B5D"/>
    <w:rsid w:val="00DA487E"/>
    <w:rsid w:val="00DB6CFE"/>
    <w:rsid w:val="00DC39DA"/>
    <w:rsid w:val="00DC6B1C"/>
    <w:rsid w:val="00DD1857"/>
    <w:rsid w:val="00DE1A05"/>
    <w:rsid w:val="00DE6577"/>
    <w:rsid w:val="00DF6433"/>
    <w:rsid w:val="00E01736"/>
    <w:rsid w:val="00E14124"/>
    <w:rsid w:val="00E208D2"/>
    <w:rsid w:val="00E33012"/>
    <w:rsid w:val="00E47A87"/>
    <w:rsid w:val="00E47AC9"/>
    <w:rsid w:val="00E6392F"/>
    <w:rsid w:val="00E64786"/>
    <w:rsid w:val="00E65465"/>
    <w:rsid w:val="00E750BC"/>
    <w:rsid w:val="00E751A2"/>
    <w:rsid w:val="00E80072"/>
    <w:rsid w:val="00EA26FE"/>
    <w:rsid w:val="00EA3FB9"/>
    <w:rsid w:val="00EB08B4"/>
    <w:rsid w:val="00EB09A5"/>
    <w:rsid w:val="00EB4B83"/>
    <w:rsid w:val="00EB6C20"/>
    <w:rsid w:val="00EE1B8C"/>
    <w:rsid w:val="00EE3711"/>
    <w:rsid w:val="00EF5031"/>
    <w:rsid w:val="00F056AC"/>
    <w:rsid w:val="00F06766"/>
    <w:rsid w:val="00F2456A"/>
    <w:rsid w:val="00F25800"/>
    <w:rsid w:val="00F330D1"/>
    <w:rsid w:val="00F36268"/>
    <w:rsid w:val="00F4254D"/>
    <w:rsid w:val="00F441DB"/>
    <w:rsid w:val="00F5208D"/>
    <w:rsid w:val="00F523A7"/>
    <w:rsid w:val="00F60015"/>
    <w:rsid w:val="00F6080D"/>
    <w:rsid w:val="00F619CA"/>
    <w:rsid w:val="00F621A2"/>
    <w:rsid w:val="00F73646"/>
    <w:rsid w:val="00F807B9"/>
    <w:rsid w:val="00F86D9A"/>
    <w:rsid w:val="00F9088E"/>
    <w:rsid w:val="00F94D29"/>
    <w:rsid w:val="00FA1DED"/>
    <w:rsid w:val="00FA7004"/>
    <w:rsid w:val="00FB7F5F"/>
    <w:rsid w:val="00FC0831"/>
    <w:rsid w:val="00FC084D"/>
    <w:rsid w:val="00FC57B3"/>
    <w:rsid w:val="00FC6F3D"/>
    <w:rsid w:val="00FC7693"/>
    <w:rsid w:val="00FD1C4D"/>
    <w:rsid w:val="00FD48BC"/>
    <w:rsid w:val="00FE20FC"/>
    <w:rsid w:val="00FE26C1"/>
    <w:rsid w:val="00FE3341"/>
    <w:rsid w:val="00FE36D8"/>
    <w:rsid w:val="00FE7085"/>
    <w:rsid w:val="00FF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65"/>
    <w:rPr>
      <w:rFonts w:ascii="Times New Roman" w:eastAsia="Times New Roman" w:hAnsi="Times New Roman" w:cs="Times New Roman"/>
    </w:rPr>
  </w:style>
  <w:style w:type="paragraph" w:styleId="Heading2">
    <w:name w:val="heading 2"/>
    <w:basedOn w:val="Normal"/>
    <w:link w:val="Heading2Char"/>
    <w:uiPriority w:val="9"/>
    <w:qFormat/>
    <w:rsid w:val="002E0D64"/>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65465"/>
    <w:rPr>
      <w:rFonts w:ascii="Lucida Grande" w:hAnsi="Lucida Grande"/>
      <w:sz w:val="18"/>
      <w:szCs w:val="18"/>
    </w:rPr>
  </w:style>
  <w:style w:type="character" w:customStyle="1" w:styleId="BalloonTextChar">
    <w:name w:val="Balloon Text Char"/>
    <w:basedOn w:val="DefaultParagraphFont"/>
    <w:link w:val="BalloonText"/>
    <w:semiHidden/>
    <w:rsid w:val="00E65465"/>
    <w:rPr>
      <w:rFonts w:ascii="Lucida Grande" w:eastAsia="Times New Roman" w:hAnsi="Lucida Grande" w:cs="Times New Roman"/>
      <w:sz w:val="18"/>
      <w:szCs w:val="18"/>
    </w:rPr>
  </w:style>
  <w:style w:type="paragraph" w:styleId="NormalWeb">
    <w:name w:val="Normal (Web)"/>
    <w:basedOn w:val="Normal"/>
    <w:uiPriority w:val="99"/>
    <w:rsid w:val="00E65465"/>
    <w:pPr>
      <w:spacing w:before="100" w:beforeAutospacing="1" w:after="100" w:afterAutospacing="1"/>
    </w:pPr>
    <w:rPr>
      <w:rFonts w:ascii="Times" w:eastAsia="Times" w:hAnsi="Times"/>
      <w:sz w:val="20"/>
      <w:szCs w:val="20"/>
    </w:rPr>
  </w:style>
  <w:style w:type="character" w:styleId="Hyperlink">
    <w:name w:val="Hyperlink"/>
    <w:rsid w:val="00E65465"/>
    <w:rPr>
      <w:color w:val="0000FF"/>
      <w:u w:val="single"/>
    </w:rPr>
  </w:style>
  <w:style w:type="character" w:styleId="LineNumber">
    <w:name w:val="line number"/>
    <w:uiPriority w:val="99"/>
    <w:semiHidden/>
    <w:unhideWhenUsed/>
    <w:rsid w:val="00E65465"/>
  </w:style>
  <w:style w:type="paragraph" w:customStyle="1" w:styleId="ChapterLabel">
    <w:name w:val="Chapter Label"/>
    <w:basedOn w:val="Normal"/>
    <w:next w:val="Normal"/>
    <w:rsid w:val="00E65465"/>
    <w:pPr>
      <w:keepNext/>
      <w:pageBreakBefore/>
      <w:tabs>
        <w:tab w:val="right" w:pos="8640"/>
      </w:tabs>
      <w:spacing w:after="560"/>
      <w:jc w:val="center"/>
    </w:pPr>
    <w:rPr>
      <w:rFonts w:ascii="Garamond" w:hAnsi="Garamond"/>
      <w:i/>
      <w:spacing w:val="70"/>
      <w:sz w:val="22"/>
      <w:szCs w:val="20"/>
    </w:rPr>
  </w:style>
  <w:style w:type="character" w:styleId="CommentReference">
    <w:name w:val="annotation reference"/>
    <w:uiPriority w:val="99"/>
    <w:semiHidden/>
    <w:unhideWhenUsed/>
    <w:rsid w:val="00E65465"/>
    <w:rPr>
      <w:sz w:val="18"/>
      <w:szCs w:val="18"/>
    </w:rPr>
  </w:style>
  <w:style w:type="paragraph" w:styleId="CommentText">
    <w:name w:val="annotation text"/>
    <w:basedOn w:val="Normal"/>
    <w:link w:val="CommentTextChar"/>
    <w:uiPriority w:val="99"/>
    <w:semiHidden/>
    <w:unhideWhenUsed/>
    <w:rsid w:val="00E65465"/>
  </w:style>
  <w:style w:type="character" w:customStyle="1" w:styleId="CommentTextChar">
    <w:name w:val="Comment Text Char"/>
    <w:link w:val="CommentText"/>
    <w:uiPriority w:val="99"/>
    <w:semiHidden/>
    <w:rsid w:val="00E6546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5465"/>
    <w:rPr>
      <w:b/>
      <w:bCs/>
      <w:sz w:val="20"/>
      <w:szCs w:val="20"/>
    </w:rPr>
  </w:style>
  <w:style w:type="character" w:customStyle="1" w:styleId="CommentSubjectChar">
    <w:name w:val="Comment Subject Char"/>
    <w:link w:val="CommentSubject"/>
    <w:uiPriority w:val="99"/>
    <w:semiHidden/>
    <w:rsid w:val="00E65465"/>
    <w:rPr>
      <w:rFonts w:ascii="Times New Roman" w:eastAsia="Times New Roman" w:hAnsi="Times New Roman" w:cs="Times New Roman"/>
      <w:b/>
      <w:bCs/>
      <w:sz w:val="20"/>
      <w:szCs w:val="20"/>
    </w:rPr>
  </w:style>
  <w:style w:type="paragraph" w:customStyle="1" w:styleId="EndNoteBibliographyTitle">
    <w:name w:val="EndNote Bibliography Title"/>
    <w:basedOn w:val="Normal"/>
    <w:rsid w:val="00E65465"/>
    <w:pPr>
      <w:jc w:val="center"/>
    </w:pPr>
  </w:style>
  <w:style w:type="paragraph" w:customStyle="1" w:styleId="EndNoteBibliography">
    <w:name w:val="EndNote Bibliography"/>
    <w:basedOn w:val="Normal"/>
    <w:rsid w:val="00E65465"/>
  </w:style>
  <w:style w:type="character" w:customStyle="1" w:styleId="gi">
    <w:name w:val="gi"/>
    <w:basedOn w:val="DefaultParagraphFont"/>
    <w:rsid w:val="00E65465"/>
  </w:style>
  <w:style w:type="paragraph" w:styleId="NoSpacing">
    <w:name w:val="No Spacing"/>
    <w:uiPriority w:val="1"/>
    <w:qFormat/>
    <w:rsid w:val="00E65465"/>
    <w:rPr>
      <w:rFonts w:ascii="Arial" w:eastAsiaTheme="minorHAnsi" w:hAnsi="Arial" w:cs="Arial"/>
    </w:rPr>
  </w:style>
  <w:style w:type="paragraph" w:styleId="Revision">
    <w:name w:val="Revision"/>
    <w:hidden/>
    <w:uiPriority w:val="99"/>
    <w:semiHidden/>
    <w:rsid w:val="00E65465"/>
    <w:rPr>
      <w:rFonts w:ascii="Times New Roman" w:eastAsia="Times New Roman" w:hAnsi="Times New Roman" w:cs="Times New Roman"/>
    </w:rPr>
  </w:style>
  <w:style w:type="character" w:styleId="Strong">
    <w:name w:val="Strong"/>
    <w:basedOn w:val="DefaultParagraphFont"/>
    <w:uiPriority w:val="22"/>
    <w:qFormat/>
    <w:rsid w:val="00E65465"/>
    <w:rPr>
      <w:b/>
      <w:bCs/>
    </w:rPr>
  </w:style>
  <w:style w:type="character" w:customStyle="1" w:styleId="il">
    <w:name w:val="il"/>
    <w:basedOn w:val="DefaultParagraphFont"/>
    <w:rsid w:val="00E65465"/>
  </w:style>
  <w:style w:type="character" w:styleId="Emphasis">
    <w:name w:val="Emphasis"/>
    <w:basedOn w:val="DefaultParagraphFont"/>
    <w:uiPriority w:val="20"/>
    <w:qFormat/>
    <w:rsid w:val="00F94D29"/>
    <w:rPr>
      <w:i/>
      <w:iCs/>
    </w:rPr>
  </w:style>
  <w:style w:type="character" w:customStyle="1" w:styleId="Heading2Char">
    <w:name w:val="Heading 2 Char"/>
    <w:basedOn w:val="DefaultParagraphFont"/>
    <w:link w:val="Heading2"/>
    <w:uiPriority w:val="9"/>
    <w:rsid w:val="002E0D6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65"/>
    <w:rPr>
      <w:rFonts w:ascii="Times New Roman" w:eastAsia="Times New Roman" w:hAnsi="Times New Roman" w:cs="Times New Roman"/>
    </w:rPr>
  </w:style>
  <w:style w:type="paragraph" w:styleId="Heading2">
    <w:name w:val="heading 2"/>
    <w:basedOn w:val="Normal"/>
    <w:link w:val="Heading2Char"/>
    <w:uiPriority w:val="9"/>
    <w:qFormat/>
    <w:rsid w:val="002E0D64"/>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65465"/>
    <w:rPr>
      <w:rFonts w:ascii="Lucida Grande" w:hAnsi="Lucida Grande"/>
      <w:sz w:val="18"/>
      <w:szCs w:val="18"/>
    </w:rPr>
  </w:style>
  <w:style w:type="character" w:customStyle="1" w:styleId="BalloonTextChar">
    <w:name w:val="Balloon Text Char"/>
    <w:basedOn w:val="DefaultParagraphFont"/>
    <w:link w:val="BalloonText"/>
    <w:semiHidden/>
    <w:rsid w:val="00E65465"/>
    <w:rPr>
      <w:rFonts w:ascii="Lucida Grande" w:eastAsia="Times New Roman" w:hAnsi="Lucida Grande" w:cs="Times New Roman"/>
      <w:sz w:val="18"/>
      <w:szCs w:val="18"/>
    </w:rPr>
  </w:style>
  <w:style w:type="paragraph" w:styleId="NormalWeb">
    <w:name w:val="Normal (Web)"/>
    <w:basedOn w:val="Normal"/>
    <w:uiPriority w:val="99"/>
    <w:rsid w:val="00E65465"/>
    <w:pPr>
      <w:spacing w:before="100" w:beforeAutospacing="1" w:after="100" w:afterAutospacing="1"/>
    </w:pPr>
    <w:rPr>
      <w:rFonts w:ascii="Times" w:eastAsia="Times" w:hAnsi="Times"/>
      <w:sz w:val="20"/>
      <w:szCs w:val="20"/>
    </w:rPr>
  </w:style>
  <w:style w:type="character" w:styleId="Hyperlink">
    <w:name w:val="Hyperlink"/>
    <w:rsid w:val="00E65465"/>
    <w:rPr>
      <w:color w:val="0000FF"/>
      <w:u w:val="single"/>
    </w:rPr>
  </w:style>
  <w:style w:type="character" w:styleId="LineNumber">
    <w:name w:val="line number"/>
    <w:uiPriority w:val="99"/>
    <w:semiHidden/>
    <w:unhideWhenUsed/>
    <w:rsid w:val="00E65465"/>
  </w:style>
  <w:style w:type="paragraph" w:customStyle="1" w:styleId="ChapterLabel">
    <w:name w:val="Chapter Label"/>
    <w:basedOn w:val="Normal"/>
    <w:next w:val="Normal"/>
    <w:rsid w:val="00E65465"/>
    <w:pPr>
      <w:keepNext/>
      <w:pageBreakBefore/>
      <w:tabs>
        <w:tab w:val="right" w:pos="8640"/>
      </w:tabs>
      <w:spacing w:after="560"/>
      <w:jc w:val="center"/>
    </w:pPr>
    <w:rPr>
      <w:rFonts w:ascii="Garamond" w:hAnsi="Garamond"/>
      <w:i/>
      <w:spacing w:val="70"/>
      <w:sz w:val="22"/>
      <w:szCs w:val="20"/>
    </w:rPr>
  </w:style>
  <w:style w:type="character" w:styleId="CommentReference">
    <w:name w:val="annotation reference"/>
    <w:uiPriority w:val="99"/>
    <w:semiHidden/>
    <w:unhideWhenUsed/>
    <w:rsid w:val="00E65465"/>
    <w:rPr>
      <w:sz w:val="18"/>
      <w:szCs w:val="18"/>
    </w:rPr>
  </w:style>
  <w:style w:type="paragraph" w:styleId="CommentText">
    <w:name w:val="annotation text"/>
    <w:basedOn w:val="Normal"/>
    <w:link w:val="CommentTextChar"/>
    <w:uiPriority w:val="99"/>
    <w:semiHidden/>
    <w:unhideWhenUsed/>
    <w:rsid w:val="00E65465"/>
  </w:style>
  <w:style w:type="character" w:customStyle="1" w:styleId="CommentTextChar">
    <w:name w:val="Comment Text Char"/>
    <w:link w:val="CommentText"/>
    <w:uiPriority w:val="99"/>
    <w:semiHidden/>
    <w:rsid w:val="00E6546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5465"/>
    <w:rPr>
      <w:b/>
      <w:bCs/>
      <w:sz w:val="20"/>
      <w:szCs w:val="20"/>
    </w:rPr>
  </w:style>
  <w:style w:type="character" w:customStyle="1" w:styleId="CommentSubjectChar">
    <w:name w:val="Comment Subject Char"/>
    <w:link w:val="CommentSubject"/>
    <w:uiPriority w:val="99"/>
    <w:semiHidden/>
    <w:rsid w:val="00E65465"/>
    <w:rPr>
      <w:rFonts w:ascii="Times New Roman" w:eastAsia="Times New Roman" w:hAnsi="Times New Roman" w:cs="Times New Roman"/>
      <w:b/>
      <w:bCs/>
      <w:sz w:val="20"/>
      <w:szCs w:val="20"/>
    </w:rPr>
  </w:style>
  <w:style w:type="paragraph" w:customStyle="1" w:styleId="EndNoteBibliographyTitle">
    <w:name w:val="EndNote Bibliography Title"/>
    <w:basedOn w:val="Normal"/>
    <w:rsid w:val="00E65465"/>
    <w:pPr>
      <w:jc w:val="center"/>
    </w:pPr>
  </w:style>
  <w:style w:type="paragraph" w:customStyle="1" w:styleId="EndNoteBibliography">
    <w:name w:val="EndNote Bibliography"/>
    <w:basedOn w:val="Normal"/>
    <w:rsid w:val="00E65465"/>
  </w:style>
  <w:style w:type="character" w:customStyle="1" w:styleId="gi">
    <w:name w:val="gi"/>
    <w:basedOn w:val="DefaultParagraphFont"/>
    <w:rsid w:val="00E65465"/>
  </w:style>
  <w:style w:type="paragraph" w:styleId="NoSpacing">
    <w:name w:val="No Spacing"/>
    <w:uiPriority w:val="1"/>
    <w:qFormat/>
    <w:rsid w:val="00E65465"/>
    <w:rPr>
      <w:rFonts w:ascii="Arial" w:eastAsiaTheme="minorHAnsi" w:hAnsi="Arial" w:cs="Arial"/>
    </w:rPr>
  </w:style>
  <w:style w:type="paragraph" w:styleId="Revision">
    <w:name w:val="Revision"/>
    <w:hidden/>
    <w:uiPriority w:val="99"/>
    <w:semiHidden/>
    <w:rsid w:val="00E65465"/>
    <w:rPr>
      <w:rFonts w:ascii="Times New Roman" w:eastAsia="Times New Roman" w:hAnsi="Times New Roman" w:cs="Times New Roman"/>
    </w:rPr>
  </w:style>
  <w:style w:type="character" w:styleId="Strong">
    <w:name w:val="Strong"/>
    <w:basedOn w:val="DefaultParagraphFont"/>
    <w:uiPriority w:val="22"/>
    <w:qFormat/>
    <w:rsid w:val="00E65465"/>
    <w:rPr>
      <w:b/>
      <w:bCs/>
    </w:rPr>
  </w:style>
  <w:style w:type="character" w:customStyle="1" w:styleId="il">
    <w:name w:val="il"/>
    <w:basedOn w:val="DefaultParagraphFont"/>
    <w:rsid w:val="00E65465"/>
  </w:style>
  <w:style w:type="character" w:styleId="Emphasis">
    <w:name w:val="Emphasis"/>
    <w:basedOn w:val="DefaultParagraphFont"/>
    <w:uiPriority w:val="20"/>
    <w:qFormat/>
    <w:rsid w:val="00F94D29"/>
    <w:rPr>
      <w:i/>
      <w:iCs/>
    </w:rPr>
  </w:style>
  <w:style w:type="character" w:customStyle="1" w:styleId="Heading2Char">
    <w:name w:val="Heading 2 Char"/>
    <w:basedOn w:val="DefaultParagraphFont"/>
    <w:link w:val="Heading2"/>
    <w:uiPriority w:val="9"/>
    <w:rsid w:val="002E0D64"/>
    <w:rPr>
      <w:rFonts w:ascii="Times" w:hAnsi="Times"/>
      <w:b/>
      <w:bCs/>
      <w:sz w:val="36"/>
      <w:szCs w:val="36"/>
    </w:rPr>
  </w:style>
</w:styles>
</file>

<file path=word/webSettings.xml><?xml version="1.0" encoding="utf-8"?>
<w:webSettings xmlns:r="http://schemas.openxmlformats.org/officeDocument/2006/relationships" xmlns:w="http://schemas.openxmlformats.org/wordprocessingml/2006/main">
  <w:divs>
    <w:div w:id="1136530135">
      <w:bodyDiv w:val="1"/>
      <w:marLeft w:val="0"/>
      <w:marRight w:val="0"/>
      <w:marTop w:val="0"/>
      <w:marBottom w:val="0"/>
      <w:divBdr>
        <w:top w:val="none" w:sz="0" w:space="0" w:color="auto"/>
        <w:left w:val="none" w:sz="0" w:space="0" w:color="auto"/>
        <w:bottom w:val="none" w:sz="0" w:space="0" w:color="auto"/>
        <w:right w:val="none" w:sz="0" w:space="0" w:color="auto"/>
      </w:divBdr>
    </w:div>
    <w:div w:id="1456674198">
      <w:bodyDiv w:val="1"/>
      <w:marLeft w:val="0"/>
      <w:marRight w:val="0"/>
      <w:marTop w:val="0"/>
      <w:marBottom w:val="0"/>
      <w:divBdr>
        <w:top w:val="none" w:sz="0" w:space="0" w:color="auto"/>
        <w:left w:val="none" w:sz="0" w:space="0" w:color="auto"/>
        <w:bottom w:val="none" w:sz="0" w:space="0" w:color="auto"/>
        <w:right w:val="none" w:sz="0" w:space="0" w:color="auto"/>
      </w:divBdr>
    </w:div>
    <w:div w:id="1586039451">
      <w:bodyDiv w:val="1"/>
      <w:marLeft w:val="0"/>
      <w:marRight w:val="0"/>
      <w:marTop w:val="0"/>
      <w:marBottom w:val="0"/>
      <w:divBdr>
        <w:top w:val="none" w:sz="0" w:space="0" w:color="auto"/>
        <w:left w:val="none" w:sz="0" w:space="0" w:color="auto"/>
        <w:bottom w:val="none" w:sz="0" w:space="0" w:color="auto"/>
        <w:right w:val="none" w:sz="0" w:space="0" w:color="auto"/>
      </w:divBdr>
    </w:div>
    <w:div w:id="1825319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F398-C2F9-4B5B-9BAD-50AC7081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4195</Characters>
  <Application>Microsoft Office Word</Application>
  <DocSecurity>0</DocSecurity>
  <Lines>34</Lines>
  <Paragraphs>9</Paragraphs>
  <ScaleCrop>false</ScaleCrop>
  <Company>LLNL</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Dekas, Anne E.</dc:creator>
  <cp:keywords/>
  <dc:description/>
  <cp:lastModifiedBy>L.Latha</cp:lastModifiedBy>
  <cp:revision>7</cp:revision>
  <cp:lastPrinted>2015-05-29T23:05:00Z</cp:lastPrinted>
  <dcterms:created xsi:type="dcterms:W3CDTF">2015-05-29T23:06:00Z</dcterms:created>
  <dcterms:modified xsi:type="dcterms:W3CDTF">2015-09-16T10:12:00Z</dcterms:modified>
</cp:coreProperties>
</file>